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224</w:t>
      </w:r>
    </w:p>
    <w:p>
      <w:pPr>
        <w:spacing w:before="0" w:after="0"/>
        <w:ind w:left="120"/>
        <w:jc w:val="center"/>
      </w:pPr>
      <w:r>
        <w:rPr>
          <w:rFonts w:ascii="Times New Roman" w:hAnsi="Times New Roman"/>
          <w:b w:val="false"/>
          <w:i w:val="false"/>
          <w:color w:val="000000"/>
          <w:sz w:val="21"/>
        </w:rPr>
        <w:t>AGING AND DISABILITY RESOURCE CENTERS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441—224.1</w:t>
      </w:r>
      <w:r>
        <w:rPr>
          <w:rFonts w:ascii="Times New Roman" w:hAnsi="Times New Roman"/>
          <w:b/>
          <w:i w:val="false"/>
          <w:color w:val="000000"/>
          <w:sz w:val="22"/>
        </w:rPr>
        <w:t xml:space="preserve">(231)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“Aging and disability resource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“ADRC” </w:t>
      </w:r>
      <w:r>
        <w:rPr>
          <w:rFonts w:ascii="Times New Roman" w:hAnsi="Times New Roman"/>
          <w:b w:val="false"/>
          <w:i w:val="false"/>
          <w:color w:val="000000"/>
          <w:sz w:val="22"/>
        </w:rPr>
        <w:t>means a person-centered navigation and coordination system that blends and braids service delivery methods and funding to ensure supports and services contribute to a consumer’s ability to remain at home and in the consumer’s community. Supports and services are provided according to the individual’s wants and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“Aging and disability resource center member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“ADRC member organization” </w:t>
      </w:r>
      <w:r>
        <w:rPr>
          <w:rFonts w:ascii="Times New Roman" w:hAnsi="Times New Roman"/>
          <w:b w:val="false"/>
          <w:i w:val="false"/>
          <w:color w:val="000000"/>
          <w:sz w:val="22"/>
        </w:rPr>
        <w:t>means a local ADRC organization that provides ADRC information and assistance and person-centered functions at the local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“Information and assistance” </w:t>
      </w:r>
      <w:r>
        <w:rPr>
          <w:rFonts w:ascii="Times New Roman" w:hAnsi="Times New Roman"/>
          <w:b w:val="false"/>
          <w:i w:val="false"/>
          <w:color w:val="000000"/>
          <w:sz w:val="22"/>
        </w:rPr>
        <w:t>means a service that provides an individual with current information on opportunities and services available within the individual’s communities; identifies the problems and capacities of the individual; links the individual to the opportunities and services that are available; and, to the maximum extent practicable, ensures that the individual receives the services needed and is aware of the opportunities available by establishing adequate follow-up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administrative claiming”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“MAC” </w:t>
      </w:r>
      <w:r>
        <w:rPr>
          <w:rFonts w:ascii="Times New Roman" w:hAnsi="Times New Roman"/>
          <w:b w:val="false"/>
          <w:i w:val="false"/>
          <w:color w:val="000000"/>
          <w:sz w:val="22"/>
        </w:rPr>
        <w:t>means federal matching funds under Medicaid are available for costs incurred by the state for administrative activities that directly support efforts to identify and enroll potential eligibles into Medicaid; support the provision of medical services covered under the state Medicaid plan when those activities are performed either directly by Iowa Medicaid or through contract or interagency agreement with another entity, such as a designated ADRC;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“Navigator” </w:t>
      </w:r>
      <w:r>
        <w:rPr>
          <w:rFonts w:ascii="Times New Roman" w:hAnsi="Times New Roman"/>
          <w:b w:val="false"/>
          <w:i w:val="false"/>
          <w:color w:val="000000"/>
          <w:sz w:val="22"/>
        </w:rPr>
        <w:t>means a person who provides ADRC information and assistance services, options counseling services,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“Options counseling” </w:t>
      </w:r>
      <w:r>
        <w:rPr>
          <w:rFonts w:ascii="Times New Roman" w:hAnsi="Times New Roman"/>
          <w:b w:val="false"/>
          <w:i w:val="false"/>
          <w:color w:val="000000"/>
          <w:sz w:val="22"/>
        </w:rPr>
        <w:t>means an interactive process whereby individuals receive guidance to make an informed choice about long-term supports. The process is directed by the individual and may include others whom the individual chooses or those who are legally authorized to represent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navigation” </w:t>
      </w:r>
      <w:r>
        <w:rPr>
          <w:rFonts w:ascii="Times New Roman" w:hAnsi="Times New Roman"/>
          <w:b w:val="false"/>
          <w:i w:val="false"/>
          <w:color w:val="000000"/>
          <w:sz w:val="22"/>
        </w:rPr>
        <w:t>means in-person, online, and telephonic support for problem solving and navigation of the services and supports available. System navigators ensure individuals and families who encounter barriers in accessing services and support are able to navigate health care, social services, and legal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441—224.2</w:t>
      </w:r>
      <w:r>
        <w:rPr>
          <w:rFonts w:ascii="Times New Roman" w:hAnsi="Times New Roman"/>
          <w:b/>
          <w:i w:val="false"/>
          <w:color w:val="000000"/>
          <w:sz w:val="22"/>
        </w:rPr>
        <w:t xml:space="preserve">(231) </w:t>
      </w:r>
      <w:r>
        <w:rPr>
          <w:rFonts w:ascii="Times New Roman" w:hAnsi="Times New Roman"/>
          <w:b/>
          <w:i w:val="false"/>
          <w:color w:val="000000"/>
          <w:sz w:val="22"/>
        </w:rPr>
        <w:t xml:space="preserve">Department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231.64</w:t>
        </w:r>
      </w:hyperlink>
      <w:r>
        <w:rPr>
          <w:rFonts w:ascii="Times New Roman" w:hAnsi="Times New Roman"/>
          <w:b w:val="false"/>
          <w:i w:val="false"/>
          <w:color w:val="000000"/>
          <w:sz w:val="22"/>
        </w:rPr>
        <w:t>, the department will administer ADRCs.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224.2(2)</w:t>
      </w:r>
      <w:r>
        <w:rPr>
          <w:rFonts w:ascii="Times New Roman" w:hAnsi="Times New Roman"/>
          <w:b w:val="false"/>
          <w:i w:val="false"/>
          <w:color w:val="000000"/>
          <w:sz w:val="22"/>
        </w:rPr>
        <w:t> </w:t>
      </w:r>
      <w:r>
        <w:rPr>
          <w:rFonts w:ascii="Times New Roman" w:hAnsi="Times New Roman"/>
          <w:b w:val="false"/>
          <w:i w:val="false"/>
          <w:color w:val="000000"/>
          <w:sz w:val="22"/>
        </w:rPr>
        <w:t>The department’s responsibilities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all duties mandated by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Designate ADRC member organizations and withdraw designation. If the department terminates its contract with an ADRC member organization for any reason, the entity is no longer designated by the department as an ADRC member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oversight of the ADRC to ensure compliance with federal and state law and applicable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Monitor the operations and performance of the ADRC.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Develop and use data and indicators to measure and assess the performance of the ADRC to ensure quality services, fair treatment, cost-effectiveness, and consumer satisfaction.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441—224.3</w:t>
      </w:r>
      <w:r>
        <w:rPr>
          <w:rFonts w:ascii="Times New Roman" w:hAnsi="Times New Roman"/>
          <w:b/>
          <w:i w:val="false"/>
          <w:color w:val="000000"/>
          <w:sz w:val="22"/>
        </w:rPr>
        <w:t xml:space="preserve">(231) </w:t>
      </w:r>
      <w:r>
        <w:rPr>
          <w:rFonts w:ascii="Times New Roman" w:hAnsi="Times New Roman"/>
          <w:b/>
          <w:i w:val="false"/>
          <w:color w:val="000000"/>
          <w:sz w:val="22"/>
        </w:rPr>
        <w:t xml:space="preserve">ADRC member organizations. </w:t>
      </w:r>
      <w:r>
        <w:rPr>
          <w:rFonts w:ascii="Times New Roman" w:hAnsi="Times New Roman"/>
          <w:b w:val="false"/>
          <w:i w:val="false"/>
          <w:color w:val="000000"/>
          <w:sz w:val="22"/>
        </w:rPr>
        <w:t>The department designates entities as ADRC member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441—224.4</w:t>
      </w:r>
      <w:r>
        <w:rPr>
          <w:rFonts w:ascii="Times New Roman" w:hAnsi="Times New Roman"/>
          <w:b/>
          <w:i w:val="false"/>
          <w:color w:val="000000"/>
          <w:sz w:val="22"/>
        </w:rPr>
        <w:t xml:space="preserve">(231) </w:t>
      </w:r>
      <w:r>
        <w:rPr>
          <w:rFonts w:ascii="Times New Roman" w:hAnsi="Times New Roman"/>
          <w:b/>
          <w:i w:val="false"/>
          <w:color w:val="000000"/>
          <w:sz w:val="22"/>
        </w:rPr>
        <w:t xml:space="preserve">ADRC member organization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224.4(1)</w:t>
      </w:r>
      <w:r>
        <w:rPr>
          <w:rFonts w:ascii="Times New Roman" w:hAnsi="Times New Roman"/>
          <w:b w:val="false"/>
          <w:i w:val="false"/>
          <w:color w:val="000000"/>
          <w:sz w:val="22"/>
        </w:rPr>
        <w:t> </w:t>
      </w:r>
      <w:r>
        <w:rPr>
          <w:rFonts w:ascii="Times New Roman" w:hAnsi="Times New Roman"/>
          <w:b w:val="false"/>
          <w:i w:val="false"/>
          <w:color w:val="000000"/>
          <w:sz w:val="22"/>
        </w:rPr>
        <w:t>An ADRC member organization will provide services to eligible populations in its service area via telephone, in-person, or electronic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224.4(2)</w:t>
      </w:r>
      <w:r>
        <w:rPr>
          <w:rFonts w:ascii="Times New Roman" w:hAnsi="Times New Roman"/>
          <w:b w:val="false"/>
          <w:i w:val="false"/>
          <w:color w:val="000000"/>
          <w:sz w:val="22"/>
        </w:rPr>
        <w:t> </w:t>
      </w:r>
      <w:r>
        <w:rPr>
          <w:rFonts w:ascii="Times New Roman" w:hAnsi="Times New Roman"/>
          <w:b w:val="false"/>
          <w:i w:val="false"/>
          <w:color w:val="000000"/>
          <w:sz w:val="22"/>
        </w:rPr>
        <w:t>An ADRC member organization will be physically accessible and provide services in a private and confidential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224.4(3)</w:t>
      </w:r>
      <w:r>
        <w:rPr>
          <w:rFonts w:ascii="Times New Roman" w:hAnsi="Times New Roman"/>
          <w:b w:val="false"/>
          <w:i w:val="false"/>
          <w:color w:val="000000"/>
          <w:sz w:val="22"/>
        </w:rPr>
        <w:t> </w:t>
      </w:r>
      <w:r>
        <w:rPr>
          <w:rFonts w:ascii="Times New Roman" w:hAnsi="Times New Roman"/>
          <w:b w:val="false"/>
          <w:i w:val="false"/>
          <w:color w:val="000000"/>
          <w:sz w:val="22"/>
        </w:rPr>
        <w:t>An ADRC member organization will ensure a system is available for answering and responding to messages received outside of the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224.4(4)</w:t>
      </w:r>
      <w:r>
        <w:rPr>
          <w:rFonts w:ascii="Times New Roman" w:hAnsi="Times New Roman"/>
          <w:b w:val="false"/>
          <w:i w:val="false"/>
          <w:color w:val="000000"/>
          <w:sz w:val="22"/>
        </w:rPr>
        <w:t> </w:t>
      </w:r>
      <w:r>
        <w:rPr>
          <w:rFonts w:ascii="Times New Roman" w:hAnsi="Times New Roman"/>
          <w:b w:val="false"/>
          <w:i w:val="false"/>
          <w:color w:val="000000"/>
          <w:sz w:val="22"/>
        </w:rPr>
        <w:t>An ADRC member organization will provide services to a person by using clear language and providing for reasonable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224.4(5)</w:t>
      </w:r>
      <w:r>
        <w:rPr>
          <w:rFonts w:ascii="Times New Roman" w:hAnsi="Times New Roman"/>
          <w:b w:val="false"/>
          <w:i w:val="false"/>
          <w:color w:val="000000"/>
          <w:sz w:val="22"/>
        </w:rPr>
        <w:t> </w:t>
      </w:r>
      <w:r>
        <w:rPr>
          <w:rFonts w:ascii="Times New Roman" w:hAnsi="Times New Roman"/>
          <w:b w:val="false"/>
          <w:i w:val="false"/>
          <w:color w:val="000000"/>
          <w:sz w:val="22"/>
        </w:rPr>
        <w:t>An ADRC member organization will provide person-centered supports and navigation services according to the individual’s personal preferences, identified needs, and unique capabilities to remain living at home and in the individual’s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224.4(6)</w:t>
      </w:r>
      <w:r>
        <w:rPr>
          <w:rFonts w:ascii="Times New Roman" w:hAnsi="Times New Roman"/>
          <w:b w:val="false"/>
          <w:i w:val="false"/>
          <w:color w:val="000000"/>
          <w:sz w:val="22"/>
        </w:rPr>
        <w:t> </w:t>
      </w:r>
      <w:r>
        <w:rPr>
          <w:rFonts w:ascii="Times New Roman" w:hAnsi="Times New Roman"/>
          <w:b w:val="false"/>
          <w:i w:val="false"/>
          <w:color w:val="000000"/>
          <w:sz w:val="22"/>
        </w:rPr>
        <w:t>An ADRC member organization will identify itself as an ADRC. The ADRC’s name may be the primary name or a subtitle to another name, but the designation of ADRC will be included in all advertising and outreach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224.4(7)</w:t>
      </w:r>
      <w:r>
        <w:rPr>
          <w:rFonts w:ascii="Times New Roman" w:hAnsi="Times New Roman"/>
          <w:b w:val="false"/>
          <w:i w:val="false"/>
          <w:color w:val="000000"/>
          <w:sz w:val="22"/>
        </w:rPr>
        <w:t> </w:t>
      </w:r>
      <w:r>
        <w:rPr>
          <w:rFonts w:ascii="Times New Roman" w:hAnsi="Times New Roman"/>
          <w:b w:val="false"/>
          <w:i w:val="false"/>
          <w:color w:val="000000"/>
          <w:sz w:val="22"/>
        </w:rPr>
        <w:t>An ADRC member organization will adhere to the department’s Medicaid ADRC federal financial participation (FFP) process for MAC. Participation in MAC for activities that facilitate access to, or are in support of, Iowa’s Medicaid state plan are allowable. The ADRC will comply with the department-approved ADRC MAC methodologies.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441—224.5</w:t>
      </w:r>
      <w:r>
        <w:rPr>
          <w:rFonts w:ascii="Times New Roman" w:hAnsi="Times New Roman"/>
          <w:b/>
          <w:i w:val="false"/>
          <w:color w:val="000000"/>
          <w:sz w:val="22"/>
        </w:rPr>
        <w:t xml:space="preserve">(231) </w:t>
      </w:r>
      <w:r>
        <w:rPr>
          <w:rFonts w:ascii="Times New Roman" w:hAnsi="Times New Roman"/>
          <w:b/>
          <w:i w:val="false"/>
          <w:color w:val="000000"/>
          <w:sz w:val="22"/>
        </w:rPr>
        <w:t xml:space="preserve">ADRC member organization staff requirements and background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224.5(1)</w:t>
      </w:r>
      <w:r>
        <w:rPr>
          <w:rFonts w:ascii="Times New Roman" w:hAnsi="Times New Roman"/>
          <w:b w:val="false"/>
          <w:i w:val="false"/>
          <w:color w:val="000000"/>
          <w:sz w:val="22"/>
        </w:rPr>
        <w:t> </w:t>
      </w:r>
      <w:r>
        <w:rPr>
          <w:rFonts w:ascii="Times New Roman" w:hAnsi="Times New Roman"/>
          <w:b w:val="false"/>
          <w:i/>
          <w:color w:val="000000"/>
          <w:sz w:val="22"/>
        </w:rPr>
        <w:t xml:space="preserve">Staffing. </w:t>
      </w:r>
      <w:r>
        <w:rPr>
          <w:rFonts w:ascii="Times New Roman" w:hAnsi="Times New Roman"/>
          <w:b w:val="false"/>
          <w:i w:val="false"/>
          <w:color w:val="000000"/>
          <w:sz w:val="22"/>
        </w:rPr>
        <w:t>The ADRC member organization will ensure adequate staffing levels to meet the needs of the service delivery area. Staff performing ADRC services will demonstrate competency and knowledge pertinent to the staff’s areas of responsibility. Additionally, the ADRC will establish and maintain background check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224.5(2)</w:t>
      </w:r>
      <w:r>
        <w:rPr>
          <w:rFonts w:ascii="Times New Roman" w:hAnsi="Times New Roman"/>
          <w:b w:val="false"/>
          <w:i w:val="false"/>
          <w:color w:val="000000"/>
          <w:sz w:val="22"/>
        </w:rPr>
        <w:t> </w:t>
      </w:r>
      <w:r>
        <w:rPr>
          <w:rFonts w:ascii="Times New Roman" w:hAnsi="Times New Roman"/>
          <w:b w:val="false"/>
          <w:i/>
          <w:color w:val="000000"/>
          <w:sz w:val="22"/>
        </w:rPr>
        <w:t xml:space="preserve">Training and mandatory reporter status. </w:t>
      </w:r>
      <w:r>
        <w:rPr>
          <w:rFonts w:ascii="Times New Roman" w:hAnsi="Times New Roman"/>
          <w:b w:val="false"/>
          <w:i w:val="false"/>
          <w:color w:val="000000"/>
          <w:sz w:val="22"/>
        </w:rPr>
        <w:t xml:space="preserve">ADRC navigators are mandatory reporters pursuant to Iowa Code chapter </w:t>
      </w:r>
      <w:hyperlink r:id="rId6">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and will adhere to federal and state law and applicable rules for mandatory reporters.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441—224.6</w:t>
      </w:r>
      <w:r>
        <w:rPr>
          <w:rFonts w:ascii="Times New Roman" w:hAnsi="Times New Roman"/>
          <w:b/>
          <w:i w:val="false"/>
          <w:color w:val="000000"/>
          <w:sz w:val="22"/>
        </w:rPr>
        <w:t xml:space="preserve">(231) </w:t>
      </w:r>
      <w:r>
        <w:rPr>
          <w:rFonts w:ascii="Times New Roman" w:hAnsi="Times New Roman"/>
          <w:b/>
          <w:i w:val="false"/>
          <w:color w:val="000000"/>
          <w:sz w:val="22"/>
        </w:rPr>
        <w:t xml:space="preserve">Services. </w:t>
      </w:r>
      <w:r>
        <w:rPr>
          <w:rFonts w:ascii="Times New Roman" w:hAnsi="Times New Roman"/>
          <w:b w:val="false"/>
          <w:i w:val="false"/>
          <w:color w:val="000000"/>
          <w:sz w:val="22"/>
        </w:rPr>
        <w:t>The ADRC will provide information and assistance and options counseling as defined within the contract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441—224.7</w:t>
      </w:r>
      <w:r>
        <w:rPr>
          <w:rFonts w:ascii="Times New Roman" w:hAnsi="Times New Roman"/>
          <w:b/>
          <w:i w:val="false"/>
          <w:color w:val="000000"/>
          <w:sz w:val="22"/>
        </w:rPr>
        <w:t xml:space="preserve">(231) </w:t>
      </w:r>
      <w:r>
        <w:rPr>
          <w:rFonts w:ascii="Times New Roman" w:hAnsi="Times New Roman"/>
          <w:b/>
          <w:i w:val="false"/>
          <w:color w:val="000000"/>
          <w:sz w:val="22"/>
        </w:rPr>
        <w:t xml:space="preserve">Grievances. </w:t>
      </w:r>
      <w:r>
        <w:rPr>
          <w:rFonts w:ascii="Times New Roman" w:hAnsi="Times New Roman"/>
          <w:b w:val="false"/>
          <w:i w:val="false"/>
          <w:color w:val="000000"/>
          <w:sz w:val="22"/>
        </w:rPr>
        <w:t>The ADRC will implement a process for reviewing and resolving individual grievances.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441—224.8</w:t>
      </w:r>
      <w:r>
        <w:rPr>
          <w:rFonts w:ascii="Times New Roman" w:hAnsi="Times New Roman"/>
          <w:b/>
          <w:i w:val="false"/>
          <w:color w:val="000000"/>
          <w:sz w:val="22"/>
        </w:rPr>
        <w:t xml:space="preserve">(231) </w:t>
      </w:r>
      <w:r>
        <w:rPr>
          <w:rFonts w:ascii="Times New Roman" w:hAnsi="Times New Roman"/>
          <w:b/>
          <w:i w:val="false"/>
          <w:color w:val="000000"/>
          <w:sz w:val="22"/>
        </w:rPr>
        <w:t xml:space="preserve">Reporting and records authority. </w:t>
      </w:r>
      <w:r>
        <w:rPr>
          <w:rFonts w:ascii="Times New Roman" w:hAnsi="Times New Roman"/>
          <w:b w:val="false"/>
          <w:i w:val="false"/>
          <w:color w:val="000000"/>
          <w:sz w:val="22"/>
        </w:rPr>
        <w:t>The director is the principal officer of the state to administer ADRC data reporting. On behalf of the department, the ADRC shall report individual-level client data, information, and performance as required by the department. The ADRC shall also cooperate with any external review of its activities by the department or the federal government. The ADRC shall submit data according to the frequency, file layouts, format, and naming conventions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441—224.9</w:t>
      </w:r>
      <w:r>
        <w:rPr>
          <w:rFonts w:ascii="Times New Roman" w:hAnsi="Times New Roman"/>
          <w:b/>
          <w:i w:val="false"/>
          <w:color w:val="000000"/>
          <w:sz w:val="22"/>
        </w:rPr>
        <w:t xml:space="preserve">(231)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The ADRC shall not disclose records that contain personally identifiable information concerning an individual receiving services to entities outside the department without the individual’s informed consent or as authorized or required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231.64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9282C</w:t>
      </w:r>
      <w:r>
        <w:rPr>
          <w:rFonts w:ascii="Times New Roman" w:hAnsi="Times New Roman"/>
          <w:b w:val="false"/>
          <w:i w:val="false"/>
          <w:color w:val="000000"/>
          <w:sz w:val="21"/>
        </w:rPr>
        <w:t xml:space="preserve"> (Notice ARC 9018C,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64.pdf" Type="http://schemas.openxmlformats.org/officeDocument/2006/relationships/hyperlink" Id="rId5"/>
    <Relationship TargetMode="External" Target="https://www.legis.iowa.gov/docs/ico/chapter/235B.pdf" Type="http://schemas.openxmlformats.org/officeDocument/2006/relationships/hyperlink" Id="rId6"/>
    <Relationship TargetMode="External" Target="https://www.legis.iowa.gov/docs/ico/chapter/231.6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