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222</w:t>
      </w:r>
    </w:p>
    <w:p>
      <w:pPr>
        <w:spacing w:before="0" w:after="0"/>
        <w:ind w:left="120"/>
        <w:jc w:val="center"/>
      </w:pPr>
      <w:r>
        <w:rPr>
          <w:rFonts w:ascii="Times New Roman" w:hAnsi="Times New Roman"/>
          <w:b w:val="false"/>
          <w:i w:val="false"/>
          <w:color w:val="000000"/>
          <w:sz w:val="21"/>
        </w:rPr>
        <w:t>DISABILITY SERVICES ADVISORY COUNCILS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7/1/30</w:t>
      </w:r>
    </w:p>
    <w:p>
      <w:pPr>
        <w:spacing w:before="0" w:after="0"/>
        <w:ind w:left="120"/>
        <w:jc w:val="both"/>
      </w:pPr>
      <w:r>
        <w:rPr>
          <w:rFonts w:ascii="Times New Roman" w:hAnsi="Times New Roman"/>
          <w:b/>
          <w:i w:val="false"/>
          <w:color w:val="000000"/>
          <w:sz w:val="22"/>
        </w:rPr>
        <w:t>441—222.1</w:t>
      </w:r>
      <w:r>
        <w:rPr>
          <w:rFonts w:ascii="Times New Roman" w:hAnsi="Times New Roman"/>
          <w:b/>
          <w:i w:val="false"/>
          <w:color w:val="000000"/>
          <w:sz w:val="22"/>
        </w:rPr>
        <w:t xml:space="preserve">(231) </w:t>
      </w:r>
      <w:r>
        <w:rPr>
          <w:rFonts w:ascii="Times New Roman" w:hAnsi="Times New Roman"/>
          <w:b/>
          <w:i w:val="false"/>
          <w:color w:val="000000"/>
          <w:sz w:val="22"/>
        </w:rPr>
        <w:t xml:space="preserve">Appointment.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222.1(1)</w:t>
      </w:r>
      <w:r>
        <w:rPr>
          <w:rFonts w:ascii="Times New Roman" w:hAnsi="Times New Roman"/>
          <w:b w:val="false"/>
          <w:i w:val="false"/>
          <w:color w:val="000000"/>
          <w:sz w:val="22"/>
        </w:rPr>
        <w:t> </w:t>
      </w:r>
      <w:r>
        <w:rPr>
          <w:rFonts w:ascii="Times New Roman" w:hAnsi="Times New Roman"/>
          <w:b w:val="false"/>
          <w:i w:val="false"/>
          <w:color w:val="000000"/>
          <w:sz w:val="22"/>
        </w:rPr>
        <w:t>The members of a council will be recruited by the DAP.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222.1(2)</w:t>
      </w:r>
      <w:r>
        <w:rPr>
          <w:rFonts w:ascii="Times New Roman" w:hAnsi="Times New Roman"/>
          <w:b w:val="false"/>
          <w:i w:val="false"/>
          <w:color w:val="000000"/>
          <w:sz w:val="22"/>
        </w:rPr>
        <w:t> </w:t>
      </w:r>
      <w:r>
        <w:rPr>
          <w:rFonts w:ascii="Times New Roman" w:hAnsi="Times New Roman"/>
          <w:b w:val="false"/>
          <w:i w:val="false"/>
          <w:color w:val="000000"/>
          <w:sz w:val="22"/>
        </w:rPr>
        <w:t>The appointments will be for three-year staggered terms, which will expire on June 30.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222.1(3)</w:t>
      </w:r>
      <w:r>
        <w:rPr>
          <w:rFonts w:ascii="Times New Roman" w:hAnsi="Times New Roman"/>
          <w:b w:val="false"/>
          <w:i w:val="false"/>
          <w:color w:val="000000"/>
          <w:sz w:val="22"/>
        </w:rPr>
        <w:t> </w:t>
      </w:r>
      <w:r>
        <w:rPr>
          <w:rFonts w:ascii="Times New Roman" w:hAnsi="Times New Roman"/>
          <w:b w:val="false"/>
          <w:i w:val="false"/>
          <w:color w:val="000000"/>
          <w:sz w:val="22"/>
        </w:rPr>
        <w:t>Vacancies will be filled in the same manner in which the original appointments were made for the balance of the unexpired term.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222.1(4)</w:t>
      </w:r>
      <w:r>
        <w:rPr>
          <w:rFonts w:ascii="Times New Roman" w:hAnsi="Times New Roman"/>
          <w:b w:val="false"/>
          <w:i w:val="false"/>
          <w:color w:val="000000"/>
          <w:sz w:val="22"/>
        </w:rPr>
        <w:t> </w:t>
      </w:r>
      <w:r>
        <w:rPr>
          <w:rFonts w:ascii="Times New Roman" w:hAnsi="Times New Roman"/>
          <w:b w:val="false"/>
          <w:i w:val="false"/>
          <w:color w:val="000000"/>
          <w:sz w:val="22"/>
        </w:rPr>
        <w:t>Absences.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Three unexcused absences in a 12-month period constitutes grounds for the DAP to request nomination of an alternate representative to fill the 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Absences may be excused by notification provided to the chairperson prior to the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chairperson of a council is charged with providing notification of absences to the DAP.</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9282C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441—222.2</w:t>
      </w:r>
      <w:r>
        <w:rPr>
          <w:rFonts w:ascii="Times New Roman" w:hAnsi="Times New Roman"/>
          <w:b/>
          <w:i w:val="false"/>
          <w:color w:val="000000"/>
          <w:sz w:val="22"/>
        </w:rPr>
        <w:t xml:space="preserve">(231) </w:t>
      </w:r>
      <w:r>
        <w:rPr>
          <w:rFonts w:ascii="Times New Roman" w:hAnsi="Times New Roman"/>
          <w:b/>
          <w:i w:val="false"/>
          <w:color w:val="000000"/>
          <w:sz w:val="22"/>
        </w:rPr>
        <w:t xml:space="preserve">Officers.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222.2(1)</w:t>
      </w:r>
      <w:r>
        <w:rPr>
          <w:rFonts w:ascii="Times New Roman" w:hAnsi="Times New Roman"/>
          <w:b w:val="false"/>
          <w:i w:val="false"/>
          <w:color w:val="000000"/>
          <w:sz w:val="22"/>
        </w:rPr>
        <w:t> </w:t>
      </w:r>
      <w:r>
        <w:rPr>
          <w:rFonts w:ascii="Times New Roman" w:hAnsi="Times New Roman"/>
          <w:b w:val="false"/>
          <w:i w:val="false"/>
          <w:color w:val="000000"/>
          <w:sz w:val="22"/>
        </w:rPr>
        <w:t>Officers of a council will consist of a chairperson and a vice chairperson. The chairperson will be appointed by the DAP. The vice chairperson will be elected at the first meeting of each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vice chairperson may serve no more than three consecutive terms.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Vacancies in the office of chairperson will be filled by elevation of the vice chairperson for 60 days until a new appointment can be made by the DAP.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Vacancies in the office of vice chairperson will be filled by election at the next meeting after the vacancy occurs.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vacancy must be filled by an individual meeting the same qualifications as the departing council member in accordance with Iowa Code chapter </w:t>
      </w:r>
      <w:hyperlink r:id="rId5">
        <w:r>
          <w:rPr>
            <w:rStyle w:val="Hyperlink"/>
            <w:rFonts w:ascii="Times New Roman" w:hAnsi="Times New Roman"/>
            <w:b w:val="false"/>
            <w:i w:val="false"/>
            <w:color w:val="000000"/>
            <w:sz w:val="22"/>
          </w:rPr>
          <w:t>231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222.2(2)</w:t>
      </w:r>
      <w:r>
        <w:rPr>
          <w:rFonts w:ascii="Times New Roman" w:hAnsi="Times New Roman"/>
          <w:b w:val="false"/>
          <w:i w:val="false"/>
          <w:color w:val="000000"/>
          <w:sz w:val="22"/>
        </w:rPr>
        <w:t> </w:t>
      </w:r>
      <w:r>
        <w:rPr>
          <w:rFonts w:ascii="Times New Roman" w:hAnsi="Times New Roman"/>
          <w:b w:val="false"/>
          <w:i w:val="false"/>
          <w:color w:val="000000"/>
          <w:sz w:val="22"/>
        </w:rPr>
        <w:t>Duties of officers.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chairperson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Preside at all meetings of the council;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Appoint subcommittees as deemed necessary;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Designate the chairperson of each subcommittee.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vice chairperson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Perform the duties of the chairperson if the chairperson is absent or unable to act. When so acting, the vice chairperson will have all the powers of and be subject to all restrictions upon the chairperson.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Perform other duties as may be assigned by the chairperson.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9282C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441—222.3</w:t>
      </w:r>
      <w:r>
        <w:rPr>
          <w:rFonts w:ascii="Times New Roman" w:hAnsi="Times New Roman"/>
          <w:b/>
          <w:i w:val="false"/>
          <w:color w:val="000000"/>
          <w:sz w:val="22"/>
        </w:rPr>
        <w:t xml:space="preserve">(231) </w:t>
      </w:r>
      <w:r>
        <w:rPr>
          <w:rFonts w:ascii="Times New Roman" w:hAnsi="Times New Roman"/>
          <w:b/>
          <w:i w:val="false"/>
          <w:color w:val="000000"/>
          <w:sz w:val="22"/>
        </w:rPr>
        <w:t xml:space="preserve">Meetings.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222.3(1)</w:t>
      </w:r>
      <w:r>
        <w:rPr>
          <w:rFonts w:ascii="Times New Roman" w:hAnsi="Times New Roman"/>
          <w:b w:val="false"/>
          <w:i w:val="false"/>
          <w:color w:val="000000"/>
          <w:sz w:val="22"/>
        </w:rPr>
        <w:t> </w:t>
      </w:r>
      <w:r>
        <w:rPr>
          <w:rFonts w:ascii="Times New Roman" w:hAnsi="Times New Roman"/>
          <w:b w:val="false"/>
          <w:i w:val="false"/>
          <w:color w:val="000000"/>
          <w:sz w:val="22"/>
        </w:rPr>
        <w:t xml:space="preserve">A council will establish a meeting schedule on an annual basis to conduct its business. There will be a minimum of four meetings per year.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222.3(2)</w:t>
      </w:r>
      <w:r>
        <w:rPr>
          <w:rFonts w:ascii="Times New Roman" w:hAnsi="Times New Roman"/>
          <w:b w:val="false"/>
          <w:i w:val="false"/>
          <w:color w:val="000000"/>
          <w:sz w:val="22"/>
        </w:rPr>
        <w:t> </w:t>
      </w:r>
      <w:r>
        <w:rPr>
          <w:rFonts w:ascii="Times New Roman" w:hAnsi="Times New Roman"/>
          <w:b w:val="false"/>
          <w:i w:val="false"/>
          <w:color w:val="000000"/>
          <w:sz w:val="22"/>
        </w:rPr>
        <w:t>A majority of appointed members constitutes a quorum.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222.3(3)</w:t>
      </w:r>
      <w:r>
        <w:rPr>
          <w:rFonts w:ascii="Times New Roman" w:hAnsi="Times New Roman"/>
          <w:b w:val="false"/>
          <w:i w:val="false"/>
          <w:color w:val="000000"/>
          <w:sz w:val="22"/>
        </w:rPr>
        <w:t> </w:t>
      </w:r>
      <w:r>
        <w:rPr>
          <w:rFonts w:ascii="Times New Roman" w:hAnsi="Times New Roman"/>
          <w:b w:val="false"/>
          <w:i w:val="false"/>
          <w:color w:val="000000"/>
          <w:sz w:val="22"/>
        </w:rPr>
        <w:t>When a quorum is present, a position is carried by an affirmative vote of the majority of those present. No official business that requires a vote of the membership will be conducted without a quorum present.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9282C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441—222.4</w:t>
      </w:r>
      <w:r>
        <w:rPr>
          <w:rFonts w:ascii="Times New Roman" w:hAnsi="Times New Roman"/>
          <w:b/>
          <w:i w:val="false"/>
          <w:color w:val="000000"/>
          <w:sz w:val="22"/>
        </w:rPr>
        <w:t xml:space="preserve">(231) </w:t>
      </w:r>
      <w:r>
        <w:rPr>
          <w:rFonts w:ascii="Times New Roman" w:hAnsi="Times New Roman"/>
          <w:b/>
          <w:i w:val="false"/>
          <w:color w:val="000000"/>
          <w:sz w:val="22"/>
        </w:rPr>
        <w:t xml:space="preserve">Subcommittees. </w:t>
      </w:r>
      <w:r>
        <w:rPr>
          <w:rFonts w:ascii="Times New Roman" w:hAnsi="Times New Roman"/>
          <w:b w:val="false"/>
          <w:i w:val="false"/>
          <w:color w:val="000000"/>
          <w:sz w:val="22"/>
        </w:rPr>
        <w:t>A council may designate one or more subcommittees to perform such duties as may be deemed necessary.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9282C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441—222.5</w:t>
      </w:r>
      <w:r>
        <w:rPr>
          <w:rFonts w:ascii="Times New Roman" w:hAnsi="Times New Roman"/>
          <w:b/>
          <w:i w:val="false"/>
          <w:color w:val="000000"/>
          <w:sz w:val="22"/>
        </w:rPr>
        <w:t xml:space="preserve">(231) </w:t>
      </w:r>
      <w:r>
        <w:rPr>
          <w:rFonts w:ascii="Times New Roman" w:hAnsi="Times New Roman"/>
          <w:b/>
          <w:i w:val="false"/>
          <w:color w:val="000000"/>
          <w:sz w:val="22"/>
        </w:rPr>
        <w:t xml:space="preserve">Expenses of preparedness advisory committee voting members. </w:t>
      </w:r>
      <w:r>
        <w:rPr>
          <w:rFonts w:ascii="Times New Roman" w:hAnsi="Times New Roman"/>
          <w:b w:val="false"/>
          <w:i w:val="false"/>
          <w:color w:val="000000"/>
          <w:sz w:val="22"/>
        </w:rPr>
        <w:t>The following may be considered necessary expenses for reimbursement of council members who are individuals with disabilities or caregivers when incurred on behalf of council business and are subject to established state reimbursement rates: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Reimbursement for travel in a private car.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Actual lodging and meal expenses, including sales tax on lodging and meals.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Actual expense of public transportation.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9282C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441—222.6</w:t>
      </w:r>
      <w:r>
        <w:rPr>
          <w:rFonts w:ascii="Times New Roman" w:hAnsi="Times New Roman"/>
          <w:b/>
          <w:i w:val="false"/>
          <w:color w:val="000000"/>
          <w:sz w:val="22"/>
        </w:rPr>
        <w:t xml:space="preserve">(231) </w:t>
      </w:r>
      <w:r>
        <w:rPr>
          <w:rFonts w:ascii="Times New Roman" w:hAnsi="Times New Roman"/>
          <w:b/>
          <w:i w:val="false"/>
          <w:color w:val="000000"/>
          <w:sz w:val="22"/>
        </w:rPr>
        <w:t xml:space="preserve">Council composition. </w:t>
      </w:r>
      <w:r>
        <w:rPr>
          <w:rFonts w:ascii="Times New Roman" w:hAnsi="Times New Roman"/>
          <w:b w:val="false"/>
          <w:i w:val="false"/>
          <w:color w:val="000000"/>
          <w:sz w:val="22"/>
        </w:rPr>
        <w:t>A council’s composition must include nine members with at least 50 percent of members being individuals with disabilities or caregivers.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9282C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6">
        <w:r>
          <w:rPr>
            <w:rStyle w:val="Hyperlink"/>
            <w:rFonts w:ascii="Times New Roman" w:hAnsi="Times New Roman"/>
            <w:b w:val="false"/>
            <w:i w:val="false"/>
            <w:color w:val="000000"/>
            <w:sz w:val="22"/>
          </w:rPr>
          <w:t>231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9282C</w:t>
      </w:r>
      <w:r>
        <w:rPr>
          <w:rFonts w:ascii="Times New Roman" w:hAnsi="Times New Roman"/>
          <w:b w:val="false"/>
          <w:i w:val="false"/>
          <w:color w:val="000000"/>
          <w:sz w:val="21"/>
        </w:rPr>
        <w:t xml:space="preserve"> (Notice ARC 9018C, IAB 3/19/25)</w:t>
      </w:r>
      <w:r>
        <w:rPr>
          <w:rFonts w:ascii="Times New Roman" w:hAnsi="Times New Roman"/>
          <w:b w:val="false"/>
          <w:i w:val="false"/>
          <w:color w:val="000000"/>
          <w:sz w:val="21"/>
        </w:rPr>
        <w:t>, IAB 5/14/25, effective 7/1/25]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31.pdf" Type="http://schemas.openxmlformats.org/officeDocument/2006/relationships/hyperlink" Id="rId5"/>
    <Relationship TargetMode="External" Target="https://www.legis.iowa.gov/docs/ico/chapter/231.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