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221</w:t>
      </w:r>
    </w:p>
    <w:p>
      <w:pPr>
        <w:spacing w:before="0" w:after="0"/>
        <w:ind w:left="120"/>
        <w:jc w:val="center"/>
      </w:pPr>
      <w:r>
        <w:rPr>
          <w:rFonts w:ascii="Times New Roman" w:hAnsi="Times New Roman"/>
          <w:b w:val="false"/>
          <w:i w:val="false"/>
          <w:color w:val="000000"/>
          <w:sz w:val="21"/>
        </w:rPr>
        <w:t>DISABILITY SERVICES 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441—221.1</w:t>
      </w:r>
      <w:r>
        <w:rPr>
          <w:rFonts w:ascii="Times New Roman" w:hAnsi="Times New Roman"/>
          <w:b/>
          <w:i w:val="false"/>
          <w:color w:val="000000"/>
          <w:sz w:val="22"/>
        </w:rPr>
        <w:t xml:space="preserve">(225A)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and 441—Chapters </w:t>
      </w:r>
      <w:hyperlink r:id="rId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or persons 18 years of age and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“Caregiver” </w:t>
      </w:r>
      <w:r>
        <w:rPr>
          <w:rFonts w:ascii="Times New Roman" w:hAnsi="Times New Roman"/>
          <w:b w:val="false"/>
          <w:i w:val="false"/>
          <w:color w:val="000000"/>
          <w:sz w:val="22"/>
        </w:rPr>
        <w:t>means an adult family member or other individual who has a significant relationship with, and who provides a broad range of assistance to, an individual with a chronic or other health condition, disability, or functional limitation. “Caregiver” also means a family member, friend, or neighbor who provides unpaid assistance to a person with a chronic illness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means the chairperson of the disability services advisory council who has been appointed by the DAP.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“children” </w:t>
      </w:r>
      <w:r>
        <w:rPr>
          <w:rFonts w:ascii="Times New Roman" w:hAnsi="Times New Roman"/>
          <w:b w:val="false"/>
          <w:i w:val="false"/>
          <w:color w:val="000000"/>
          <w:sz w:val="22"/>
        </w:rPr>
        <w:t>means a person or persons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means the same as defined in Section 3 of the Americans with Disabilities Act of 1990 (</w:t>
      </w:r>
      <w:r>
        <w:rPr>
          <w:rFonts w:ascii="Times New Roman" w:hAnsi="Times New Roman"/>
          <w:b w:val="false"/>
          <w:i w:val="false"/>
          <w:color w:val="000000"/>
          <w:sz w:val="22"/>
        </w:rPr>
        <w:t>42 U.S.C. §12012</w:t>
      </w:r>
      <w:r>
        <w:rPr>
          <w:rFonts w:ascii="Times New Roman" w:hAnsi="Times New Roman"/>
          <w:b w:val="false"/>
          <w:i w:val="false"/>
          <w:color w:val="000000"/>
          <w:sz w:val="22"/>
        </w:rPr>
        <w:t xml:space="preserve"> as amended to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access point”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“DAP” </w:t>
      </w:r>
      <w:r>
        <w:rPr>
          <w:rFonts w:ascii="Times New Roman" w:hAnsi="Times New Roman"/>
          <w:b w:val="false"/>
          <w:i w:val="false"/>
          <w:color w:val="000000"/>
          <w:sz w:val="22"/>
        </w:rPr>
        <w:t xml:space="preserve">means a local organization designated by the department to serve as the primary access point for people with disabilities and their caregivers. DAPs serve as aging and disability resource center (ADRC) member organizations as defined in rule </w:t>
      </w:r>
      <w:hyperlink r:id="rId8">
        <w:r>
          <w:rPr>
            <w:rStyle w:val="Hyperlink"/>
            <w:rFonts w:ascii="Times New Roman" w:hAnsi="Times New Roman"/>
            <w:b w:val="false"/>
            <w:i w:val="false"/>
            <w:color w:val="000000"/>
            <w:sz w:val="22"/>
          </w:rPr>
          <w:t>441—224.1</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services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“DSA council” </w:t>
      </w:r>
      <w:r>
        <w:rPr>
          <w:rFonts w:ascii="Times New Roman" w:hAnsi="Times New Roman"/>
          <w:b w:val="false"/>
          <w:i w:val="false"/>
          <w:color w:val="000000"/>
          <w:sz w:val="22"/>
        </w:rPr>
        <w:t>means a council established by each DAP to identify opportunities, address challenges, and advise the DAP.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services and supports”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“LTSS” </w:t>
      </w:r>
      <w:r>
        <w:rPr>
          <w:rFonts w:ascii="Times New Roman" w:hAnsi="Times New Roman"/>
          <w:b w:val="false"/>
          <w:i w:val="false"/>
          <w:color w:val="000000"/>
          <w:sz w:val="22"/>
        </w:rPr>
        <w:t>means activities that support maintaining people with disabilities at the lowest level of care possible, including facility diversion or transition to community as determined through the DAP processes for eligibility and service determination. LTSS will be outlined in the individual’s service plan between the individual, care team, and DAP.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coordination” </w:t>
      </w:r>
      <w:r>
        <w:rPr>
          <w:rFonts w:ascii="Times New Roman" w:hAnsi="Times New Roman"/>
          <w:b w:val="false"/>
          <w:i w:val="false"/>
          <w:color w:val="000000"/>
          <w:sz w:val="22"/>
        </w:rPr>
        <w:t>means an active, transitional, and ongoing process that involves assisting an eligible individual in gaining access to and coordinating the provision of services, using person-centered practices in all contacts with individuals and their caregivers, and coordinating the services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“Short-term services and supports”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“STSS” </w:t>
      </w:r>
      <w:r>
        <w:rPr>
          <w:rFonts w:ascii="Times New Roman" w:hAnsi="Times New Roman"/>
          <w:b w:val="false"/>
          <w:i w:val="false"/>
          <w:color w:val="000000"/>
          <w:sz w:val="22"/>
        </w:rPr>
        <w:t>means time-limited activities focused on supporting people with disabilities to live in the home and community of their choice in an integrated manner and offering support to their families and caregivers as needed toward this purpose. STSS will be outlined in the individual’s service plan between the individual, care team, and DAP.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231.23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9282C</w:t>
      </w:r>
      <w:r>
        <w:rPr>
          <w:rFonts w:ascii="Times New Roman" w:hAnsi="Times New Roman"/>
          <w:b w:val="false"/>
          <w:i w:val="false"/>
          <w:color w:val="000000"/>
          <w:sz w:val="21"/>
        </w:rPr>
        <w:t xml:space="preserve"> (Notice ARC 9018C,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222..pdf" Type="http://schemas.openxmlformats.org/officeDocument/2006/relationships/hyperlink" Id="rId5"/>
    <Relationship TargetMode="External" Target="https://www.legis.iowa.gov/docs/iac/rule/441.224..pdf" Type="http://schemas.openxmlformats.org/officeDocument/2006/relationships/hyperlink" Id="rId6"/>
    <Relationship TargetMode="External" Target="https://www.legis.iowa.gov/docs/iac/rule/441.229..pdf" Type="http://schemas.openxmlformats.org/officeDocument/2006/relationships/hyperlink" Id="rId7"/>
    <Relationship TargetMode="External" Target="https://www.legis.iowa.gov/docs/iac/rule/441.224.1.pdf" Type="http://schemas.openxmlformats.org/officeDocument/2006/relationships/hyperlink" Id="rId8"/>
    <Relationship TargetMode="External" Target="https://www.legis.iowa.gov/docs/ico/chapter/231.2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