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w:t>
      </w:r>
    </w:p>
    <w:p>
      <w:pPr>
        <w:spacing w:before="0" w:after="0"/>
        <w:ind w:left="120"/>
        <w:jc w:val="center"/>
      </w:pPr>
      <w:r>
        <w:rPr>
          <w:rFonts w:ascii="Times New Roman" w:hAnsi="Times New Roman"/>
          <w:b w:val="false"/>
          <w:i w:val="false"/>
          <w:color w:val="000000"/>
          <w:sz w:val="21"/>
        </w:rPr>
        <w:t>SUBSIDIZED GUARDIANSHIP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441—204.1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either a person less than 18 years of age or a person 18, 19, or 20 years of age who meets one or more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in full-time attendance at an accredited school pursuing a course of study leading to a high school diploma.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attending an instructional program leading to a high school equivalency diploma.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been identified by the director of special education of the area education agency as a child requiring special education as defined in Iowa Code section </w:t>
      </w:r>
      <w:hyperlink r:id="rId5">
        <w:r>
          <w:rPr>
            <w:rStyle w:val="Hyperlink"/>
            <w:rFonts w:ascii="Times New Roman" w:hAnsi="Times New Roman"/>
            <w:b w:val="false"/>
            <w:i w:val="false"/>
            <w:color w:val="000000"/>
            <w:sz w:val="22"/>
          </w:rPr>
          <w:t>256B.2(1)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“Guardianship subsidy”</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assist in covering the cost of room, board, clothing, and spending money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“Nonrecurring expenses”</w:t>
      </w:r>
      <w:r>
        <w:rPr>
          <w:rFonts w:ascii="Times New Roman" w:hAnsi="Times New Roman"/>
          <w:b w:val="false"/>
          <w:i w:val="false"/>
          <w:color w:val="000000"/>
          <w:sz w:val="22"/>
        </w:rPr>
        <w:t> </w:t>
      </w:r>
      <w:r>
        <w:rPr>
          <w:rFonts w:ascii="Times New Roman" w:hAnsi="Times New Roman"/>
          <w:b w:val="false"/>
          <w:i w:val="false"/>
          <w:color w:val="000000"/>
          <w:sz w:val="22"/>
        </w:rPr>
        <w:t>means reasonable and necessary guardianship fees, court costs, attorney fees, and other expenses that are directly related to finalizing the legal guardianship of a child. These expenses shall be limited to attorney fees, court filing fees and other court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“Relative”</w:t>
      </w:r>
      <w:r>
        <w:rPr>
          <w:rFonts w:ascii="Times New Roman" w:hAnsi="Times New Roman"/>
          <w:b w:val="false"/>
          <w:i w:val="false"/>
          <w:color w:val="000000"/>
          <w:sz w:val="22"/>
        </w:rPr>
        <w:t> </w:t>
      </w:r>
      <w:r>
        <w:rPr>
          <w:rFonts w:ascii="Times New Roman" w:hAnsi="Times New Roman"/>
          <w:b w:val="false"/>
          <w:i w:val="false"/>
          <w:color w:val="000000"/>
          <w:sz w:val="22"/>
        </w:rPr>
        <w:t>means a person to whom a child is related by blood, marriage, or adoption, or a person who has a significant, committed, positive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“Sibling group”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at least two children who are whole or half-siblings. A sibling group may include adopted children who have a common parent.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441—204.2</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eligibility. </w:t>
      </w:r>
      <w:r>
        <w:rPr>
          <w:rFonts w:ascii="Times New Roman" w:hAnsi="Times New Roman"/>
          <w:b w:val="false"/>
          <w:i w:val="false"/>
          <w:color w:val="000000"/>
          <w:sz w:val="22"/>
        </w:rPr>
        <w:t xml:space="preserve">The guardian named in a permanency order under Iowa Code section </w:t>
      </w:r>
      <w:hyperlink r:id="rId6">
        <w:r>
          <w:rPr>
            <w:rStyle w:val="Hyperlink"/>
            <w:rFonts w:ascii="Times New Roman" w:hAnsi="Times New Roman"/>
            <w:b w:val="false"/>
            <w:i w:val="false"/>
            <w:color w:val="000000"/>
            <w:sz w:val="22"/>
          </w:rPr>
          <w:t>232.104(2)</w:t>
        </w:r>
      </w:hyperlink>
      <w:r>
        <w:rPr>
          <w:rFonts w:ascii="Times New Roman" w:hAnsi="Times New Roman"/>
          <w:b w:val="false"/>
          <w:i/>
          <w:color w:val="000000"/>
          <w:sz w:val="22"/>
        </w:rPr>
        <w:t>“d”</w:t>
      </w:r>
      <w:r>
        <w:rPr>
          <w:rFonts w:ascii="Times New Roman" w:hAnsi="Times New Roman"/>
          <w:b w:val="false"/>
          <w:i w:val="false"/>
          <w:color w:val="000000"/>
          <w:sz w:val="22"/>
        </w:rPr>
        <w:t xml:space="preserve">(1) or chapter </w:t>
      </w:r>
      <w:hyperlink r:id="rId7">
        <w:r>
          <w:rPr>
            <w:rStyle w:val="Hyperlink"/>
            <w:rFonts w:ascii="Times New Roman" w:hAnsi="Times New Roman"/>
            <w:b w:val="false"/>
            <w:i w:val="false"/>
            <w:color w:val="000000"/>
            <w:sz w:val="22"/>
          </w:rPr>
          <w:t>232D</w:t>
        </w:r>
      </w:hyperlink>
      <w:r>
        <w:rPr>
          <w:rFonts w:ascii="Times New Roman" w:hAnsi="Times New Roman"/>
          <w:b w:val="false"/>
          <w:i w:val="false"/>
          <w:color w:val="000000"/>
          <w:sz w:val="22"/>
        </w:rPr>
        <w:t xml:space="preserve"> for a child who was previously in the custody of the department is eligible for subsidy when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has a documented permanency goal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Guardianship;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planned permanent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years of age or older and consents to the guardianship;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 of a sibling group with a child aged ten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lived in continuous foster family care with the prospective guardian for the six months before initiation of the guardianship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prospective guardian is a licensed relative foster parent who has a significant relationship with the child and demonstrates a willingness to make a long-term commitment to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guardian shall be a relative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with that guardian must be in the best interest of the child. The best-interest determination must be documented in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who is part of a sibling group with a child ten years of age or older may be eligible for subsidy if all criteria are met. The following conditions for the younger sibling shall also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sibling is placed as a foster child in the same prospective guardian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and the department agree it is appropriate for guardianship to be granted for the sibling.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The subsidized guardianship applicant or recipient need not reside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The family or the guardian shall provide to the department documentation from the source of the child’s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Other services available to meet the needs of the child that are free of charge, such as federal, state, and local governmental programs, or private assistance programs, shall be explored and used prior to the expenditure of subsidized guardianship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441—204.3</w:t>
      </w:r>
      <w:r>
        <w:rPr>
          <w:rFonts w:ascii="Times New Roman" w:hAnsi="Times New Roman"/>
          <w:b/>
          <w:i w:val="false"/>
          <w:color w:val="000000"/>
          <w:sz w:val="22"/>
        </w:rPr>
        <w:t xml:space="preserve">(234)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Applications for the subsidized guardianship program may be made at any county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 for a subsidized guardianship shall be made on the approved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The determination of whether a child meets the eligibility requirements is made by the department. The proposed guardian shall be notified in writing of the decision of the department regarding the child’s eligibility for the program and the amount of subsidy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The effective date of the guardianship subsidy payment shall be the date the guardianship order is signed if all other conditions of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204.3(4)</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The department shall review the child’s eligibility, the needs of the child and the child’s unearned income every 12 months. Reviews may be done more often if needed due to the child’s need for special services, revision of the subsidy amount because of the child’s age, or a request for review by the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after age 18. </w:t>
      </w:r>
      <w:r>
        <w:rPr>
          <w:rFonts w:ascii="Times New Roman" w:hAnsi="Times New Roman"/>
          <w:b w:val="false"/>
          <w:i w:val="false"/>
          <w:color w:val="000000"/>
          <w:sz w:val="22"/>
        </w:rPr>
        <w:t>The department shall review the subsidy agreement when the child reaches the age of 17½ to determine whether the child is eligible to receive a subsidy to the age of 21 to complete high school or equivalency or due to the child’s physical, intellectual, or mental health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disability shall be diagnosed by a physician, a qualified mental health professional or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diagnosed disability shall be current within one year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child’s diagnosed disability shall be provided by the child’s guardian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child’s reaching the age of 18, the subsidy may continue until the child completes courses leading to a high school diploma or equivalency or reaches the age of 21. Documentation of school enrollment and completion shall be provided by the child’s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441—204.4</w:t>
      </w:r>
      <w:r>
        <w:rPr>
          <w:rFonts w:ascii="Times New Roman" w:hAnsi="Times New Roman"/>
          <w:b/>
          <w:i w:val="false"/>
          <w:color w:val="000000"/>
          <w:sz w:val="22"/>
        </w:rPr>
        <w:t xml:space="preserve">(234) </w:t>
      </w:r>
      <w:r>
        <w:rPr>
          <w:rFonts w:ascii="Times New Roman" w:hAnsi="Times New Roman"/>
          <w:b/>
          <w:i w:val="false"/>
          <w:color w:val="000000"/>
          <w:sz w:val="22"/>
        </w:rPr>
        <w:t xml:space="preserve">Negotiation of amount of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204.4(1)</w:t>
      </w:r>
      <w:r>
        <w:rPr>
          <w:rFonts w:ascii="Times New Roman" w:hAnsi="Times New Roman"/>
          <w:b w:val="false"/>
          <w:i w:val="false"/>
          <w:color w:val="000000"/>
          <w:sz w:val="22"/>
        </w:rPr>
        <w:t> </w:t>
      </w:r>
      <w:r>
        <w:rPr>
          <w:rFonts w:ascii="Times New Roman" w:hAnsi="Times New Roman"/>
          <w:b w:val="false"/>
          <w:i/>
          <w:color w:val="000000"/>
          <w:sz w:val="22"/>
        </w:rPr>
        <w:t xml:space="preserve">Subsidy agreement. </w:t>
      </w:r>
      <w:r>
        <w:rPr>
          <w:rFonts w:ascii="Times New Roman" w:hAnsi="Times New Roman"/>
          <w:b w:val="false"/>
          <w:i w:val="false"/>
          <w:color w:val="000000"/>
          <w:sz w:val="22"/>
        </w:rPr>
        <w:t xml:space="preserve">The amount of subsidy shall be negotiated between the department and the guardian and shall be based upon the needs of the child and the circumstances of the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204.4(2)</w:t>
      </w:r>
      <w:r>
        <w:rPr>
          <w:rFonts w:ascii="Times New Roman" w:hAnsi="Times New Roman"/>
          <w:b w:val="false"/>
          <w:i w:val="false"/>
          <w:color w:val="000000"/>
          <w:sz w:val="22"/>
        </w:rPr>
        <w:t> </w:t>
      </w:r>
      <w:r>
        <w:rPr>
          <w:rFonts w:ascii="Times New Roman" w:hAnsi="Times New Roman"/>
          <w:b w:val="false"/>
          <w:i/>
          <w:color w:val="000000"/>
          <w:sz w:val="22"/>
        </w:rPr>
        <w:t xml:space="preserve">Amount of subsidy. </w:t>
      </w:r>
      <w:r>
        <w:rPr>
          <w:rFonts w:ascii="Times New Roman" w:hAnsi="Times New Roman"/>
          <w:b w:val="false"/>
          <w:i w:val="false"/>
          <w:color w:val="000000"/>
          <w:sz w:val="22"/>
        </w:rPr>
        <w:t>Each time negotiations are completed, the department and the guardian shall complete and sign a new Guardianship Subsidy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guardianship shall be made pursuant to the foster family care maintenance rates according to the age and special needs of the child as found in </w:t>
      </w:r>
      <w:hyperlink r:id="rId8">
        <w:r>
          <w:rPr>
            <w:rStyle w:val="Hyperlink"/>
            <w:rFonts w:ascii="Times New Roman" w:hAnsi="Times New Roman"/>
            <w:b w:val="false"/>
            <w:i w:val="false"/>
            <w:color w:val="000000"/>
            <w:sz w:val="22"/>
          </w:rPr>
          <w:t>441—subrule 156.6(4)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for the guardianship subsidy shall not exceed the state’s current daily basic foster care rate plus any daily special needs allowance or sibling allowance for which the child is eligible, as found in </w:t>
      </w:r>
      <w:hyperlink r:id="rId9">
        <w:r>
          <w:rPr>
            <w:rStyle w:val="Hyperlink"/>
            <w:rFonts w:ascii="Times New Roman" w:hAnsi="Times New Roman"/>
            <w:b w:val="false"/>
            <w:i w:val="false"/>
            <w:color w:val="000000"/>
            <w:sz w:val="22"/>
          </w:rPr>
          <w:t>441—subrule 156.6(4)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subsidized guardianship payment is less than the maximum amount allowed, the guardian may request an increase if there is a substantial change in the child’s needs and circumstances that requires additional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Guardianship payments shall continue if the guardian dies or becomes incapacitated and has named a successor guardian in the Guardianship Subsidy Agreement or in any amendments 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204.4(3)</w:t>
      </w:r>
      <w:r>
        <w:rPr>
          <w:rFonts w:ascii="Times New Roman" w:hAnsi="Times New Roman"/>
          <w:b w:val="false"/>
          <w:i w:val="false"/>
          <w:color w:val="000000"/>
          <w:sz w:val="22"/>
        </w:rPr>
        <w:t> </w:t>
      </w:r>
      <w:r>
        <w:rPr>
          <w:rFonts w:ascii="Times New Roman" w:hAnsi="Times New Roman"/>
          <w:b w:val="false"/>
          <w:i/>
          <w:color w:val="000000"/>
          <w:sz w:val="22"/>
        </w:rPr>
        <w:t xml:space="preserve">Placement outside of home. </w:t>
      </w:r>
      <w:r>
        <w:rPr>
          <w:rFonts w:ascii="Times New Roman" w:hAnsi="Times New Roman"/>
          <w:b w:val="false"/>
          <w:i w:val="false"/>
          <w:color w:val="000000"/>
          <w:sz w:val="22"/>
        </w:rPr>
        <w:t>If a child needs to be placed out of the guardian’s home and the plan is for the child to return to the guardian within six months, a partial subsidy amount may be negotiated.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204.4(4)</w:t>
      </w:r>
      <w:r>
        <w:rPr>
          <w:rFonts w:ascii="Times New Roman" w:hAnsi="Times New Roman"/>
          <w:b w:val="false"/>
          <w:i w:val="false"/>
          <w:color w:val="000000"/>
          <w:sz w:val="22"/>
        </w:rPr>
        <w:t> </w:t>
      </w: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The nonrecurring expenses necessary to finalize a guardianship shall not exceed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204.4(5)</w:t>
      </w:r>
      <w:r>
        <w:rPr>
          <w:rFonts w:ascii="Times New Roman" w:hAnsi="Times New Roman"/>
          <w:b w:val="false"/>
          <w:i w:val="false"/>
          <w:color w:val="000000"/>
          <w:sz w:val="22"/>
        </w:rPr>
        <w:t> </w:t>
      </w:r>
      <w:r>
        <w:rPr>
          <w:rFonts w:ascii="Times New Roman" w:hAnsi="Times New Roman"/>
          <w:b w:val="false"/>
          <w:i/>
          <w:color w:val="000000"/>
          <w:sz w:val="22"/>
        </w:rPr>
        <w:t xml:space="preserve">Special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to the guardian family or direct payment made to a provider is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individual or family services provided from a non-Medicaid provider only with approval from the department and when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not available from a Medicaid provider within a reasonable distance from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and the family were receiving therapy or counseling from a non-Medicaid provider and it would not be in the child’s best interest to disrupt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Available Medicaid providers lack experience in working with foster, adopted, or blended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Travel-related expenses including transportation, meals and lodging not covered by Medicaid for visitation or family therapy when the child is receiving Medicaid-paid services out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Supplies and equipment as required by the child’s special needs and unavailable through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benefits at the amount allowed for a foster child in accordance with rule </w:t>
      </w:r>
      <w:hyperlink r:id="rId10">
        <w:r>
          <w:rPr>
            <w:rStyle w:val="Hyperlink"/>
            <w:rFonts w:ascii="Times New Roman" w:hAnsi="Times New Roman"/>
            <w:b w:val="false"/>
            <w:i w:val="false"/>
            <w:color w:val="000000"/>
            <w:sz w:val="22"/>
          </w:rPr>
          <w:t>441—156.8</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single special service and any special service delivered over a 12-month period costing $500 or more shall have prior approval from the department prior to expending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Medicaid-covered services, the department shall reimburse at the same rate and duration as Medicaid as set forth in rule </w:t>
      </w:r>
      <w:hyperlink r:id="rId11">
        <w:r>
          <w:rPr>
            <w:rStyle w:val="Hyperlink"/>
            <w:rFonts w:ascii="Times New Roman" w:hAnsi="Times New Roman"/>
            <w:b w:val="false"/>
            <w:i w:val="false"/>
            <w:color w:val="000000"/>
            <w:sz w:val="22"/>
          </w:rPr>
          <w:t>441—79.1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441—204.5</w:t>
      </w:r>
      <w:r>
        <w:rPr>
          <w:rFonts w:ascii="Times New Roman" w:hAnsi="Times New Roman"/>
          <w:b/>
          <w:i w:val="false"/>
          <w:color w:val="000000"/>
          <w:sz w:val="22"/>
        </w:rPr>
        <w:t xml:space="preserve">(234) </w:t>
      </w:r>
      <w:r>
        <w:rPr>
          <w:rFonts w:ascii="Times New Roman" w:hAnsi="Times New Roman"/>
          <w:b/>
          <w:i w:val="false"/>
          <w:color w:val="000000"/>
          <w:sz w:val="22"/>
        </w:rPr>
        <w:t xml:space="preserve">Parental liability. </w:t>
      </w:r>
      <w:r>
        <w:rPr>
          <w:rFonts w:ascii="Times New Roman" w:hAnsi="Times New Roman"/>
          <w:b w:val="false"/>
          <w:i w:val="false"/>
          <w:color w:val="000000"/>
          <w:sz w:val="22"/>
        </w:rPr>
        <w:t>These subsidy payments are considered foster care payments for purposes of child support recovery and as such create a support debt for the legally responsible parent or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441—204.6</w:t>
      </w:r>
      <w:r>
        <w:rPr>
          <w:rFonts w:ascii="Times New Roman" w:hAnsi="Times New Roman"/>
          <w:b/>
          <w:i w:val="false"/>
          <w:color w:val="000000"/>
          <w:sz w:val="22"/>
        </w:rPr>
        <w:t xml:space="preserve">(234) </w:t>
      </w:r>
      <w:r>
        <w:rPr>
          <w:rFonts w:ascii="Times New Roman" w:hAnsi="Times New Roman"/>
          <w:b/>
          <w:i w:val="false"/>
          <w:color w:val="000000"/>
          <w:sz w:val="22"/>
        </w:rPr>
        <w:t xml:space="preserve">Determination of ongoing subsidy eligibility and suspension of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continuation of guardianship subsidy shall be evaluated when the department has good cause to suspect the guardian is not providing financial support or is no longer legally responsible for the child. Good cause includes, but is not limited to,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placed in out-of-home care under Iowa Code chapter </w:t>
      </w:r>
      <w:hyperlink r:id="rId1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alleges the guardian is not providing financial support to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the guardian is awarded legal custody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the guardian is appointed as the guardian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has applied for food assistance or other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has not resided with the guardian for the past 30 consecutive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guardian is incarcerated.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guardian is awaiting trial for criminal charges related to harm caused to a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contact the child’s guardian via letter, telephone, or electronic or other means and document such efforts if an evaluation is determined to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204.6(3)</w:t>
      </w:r>
      <w:r>
        <w:rPr>
          <w:rFonts w:ascii="Times New Roman" w:hAnsi="Times New Roman"/>
          <w:b w:val="false"/>
          <w:i w:val="false"/>
          <w:color w:val="000000"/>
          <w:sz w:val="22"/>
        </w:rPr>
        <w:t> </w:t>
      </w:r>
      <w:r>
        <w:rPr>
          <w:rFonts w:ascii="Times New Roman" w:hAnsi="Times New Roman"/>
          <w:b w:val="false"/>
          <w:i w:val="false"/>
          <w:color w:val="000000"/>
          <w:sz w:val="22"/>
        </w:rPr>
        <w:t xml:space="preserve">If such an evaluation occurs, the child’s guardian shall provide documentation of support, including receipts, to the department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department’s evaluation of the child’s continued eligibility for guardianship subsidy, the department will issue a written notice to the guardian documenting required ongoing actions by the guardian, including an expectation of continued cooperation by the guardian to provide documentation of ongoing support to the child at the request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guardianship subsidy payments if the guardian refuses to cooperate with any department evaluation designed to determine legal responsibility for the child or to determine whether the guardian is providing financial support for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204.6(6)</w:t>
      </w:r>
      <w:r>
        <w:rPr>
          <w:rFonts w:ascii="Times New Roman" w:hAnsi="Times New Roman"/>
          <w:b w:val="false"/>
          <w:i w:val="false"/>
          <w:color w:val="000000"/>
          <w:sz w:val="22"/>
        </w:rPr>
        <w:t> </w:t>
      </w:r>
      <w:r>
        <w:rPr>
          <w:rFonts w:ascii="Times New Roman" w:hAnsi="Times New Roman"/>
          <w:b w:val="false"/>
          <w:i w:val="false"/>
          <w:color w:val="000000"/>
          <w:sz w:val="22"/>
        </w:rPr>
        <w:t>Through a Notice of Decision, the department will notify the guardian that the guardianship subsidy payment will be suspended, modified,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204.6(7)</w:t>
      </w:r>
      <w:r>
        <w:rPr>
          <w:rFonts w:ascii="Times New Roman" w:hAnsi="Times New Roman"/>
          <w:b w:val="false"/>
          <w:i w:val="false"/>
          <w:color w:val="000000"/>
          <w:sz w:val="22"/>
        </w:rPr>
        <w:t> </w:t>
      </w:r>
      <w:r>
        <w:rPr>
          <w:rFonts w:ascii="Times New Roman" w:hAnsi="Times New Roman"/>
          <w:b w:val="false"/>
          <w:i w:val="false"/>
          <w:color w:val="000000"/>
          <w:sz w:val="22"/>
        </w:rPr>
        <w:t>When the child has resided out of the guardian’s home for 30 consecutive days, the department shall request a renegotiation of the Guardianship Subsidy Agreement with the guardian to reduce or suspend payments as agreed to by the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441—204.7</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of subsidy. </w:t>
      </w:r>
      <w:r>
        <w:rPr>
          <w:rFonts w:ascii="Times New Roman" w:hAnsi="Times New Roman"/>
          <w:b w:val="false"/>
          <w:i w:val="false"/>
          <w:color w:val="000000"/>
          <w:sz w:val="22"/>
        </w:rPr>
        <w:t>A Guardianship Subsidy Agreement remains in effect until the subsidy is terminated. The subsidy shall terminate when any of the following occur, and a notice shall be sent that states the reason for the termination: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child reaches the age of 18, unless the department determines that the subsidy may continue until the child reaches the age of 21 as specified by subrule </w:t>
      </w:r>
      <w:hyperlink r:id="rId13">
        <w:r>
          <w:rPr>
            <w:rStyle w:val="Hyperlink"/>
            <w:rFonts w:ascii="Times New Roman" w:hAnsi="Times New Roman"/>
            <w:b w:val="false"/>
            <w:i w:val="false"/>
            <w:color w:val="000000"/>
            <w:sz w:val="22"/>
          </w:rPr>
          <w:t>204.3(5)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 marries or enlists in the military.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child no longer lives with the guardian, except for placement outside the home as limited by subrule </w:t>
      </w:r>
      <w:hyperlink r:id="rId14">
        <w:r>
          <w:rPr>
            <w:rStyle w:val="Hyperlink"/>
            <w:rFonts w:ascii="Times New Roman" w:hAnsi="Times New Roman"/>
            <w:b w:val="false"/>
            <w:i w:val="false"/>
            <w:color w:val="000000"/>
            <w:sz w:val="22"/>
          </w:rPr>
          <w:t>204.4(3)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relationship ends due to the death of the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terms of the Guardianship Subsidy Agreement are concluded.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guardian requests that the guardianship payment cease.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department has determined the guardian is not providing financial support to the child.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guardian fails to abide by the terms of the Guardianship Subsidy Agreement.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guardianship case is terminated by court order.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department funds for subsidized guardianship are no longer available.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Due to incapacity, the guardian can no longer discharge the responsibilities necessary to protect and care for the child, the guardianship has been or will be vacated, and a successor guardian was not named in the Guardianship Subsidy Agreement.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death of the guardian when a successor guardian is not named in the Guardianship Subsidy Agreement (one in a single-parent family or both in a two-parent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441—204.8</w:t>
      </w:r>
      <w:r>
        <w:rPr>
          <w:rFonts w:ascii="Times New Roman" w:hAnsi="Times New Roman"/>
          <w:b/>
          <w:i w:val="false"/>
          <w:color w:val="000000"/>
          <w:sz w:val="22"/>
        </w:rPr>
        <w:t xml:space="preserve">(234) </w:t>
      </w:r>
      <w:r>
        <w:rPr>
          <w:rFonts w:ascii="Times New Roman" w:hAnsi="Times New Roman"/>
          <w:b/>
          <w:i w:val="false"/>
          <w:color w:val="000000"/>
          <w:sz w:val="22"/>
        </w:rPr>
        <w:t xml:space="preserve">Reinstatement of subsidy. </w:t>
      </w:r>
      <w:r>
        <w:rPr>
          <w:rFonts w:ascii="Times New Roman" w:hAnsi="Times New Roman"/>
          <w:b w:val="false"/>
          <w:i w:val="false"/>
          <w:color w:val="000000"/>
          <w:sz w:val="22"/>
        </w:rPr>
        <w:t>Reinstatement of the subsidy shall be made when the subsidy was terminated at the guardian’s request and the guardian has requested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441—204.9</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The guardian may appeal adverse determinations pursuant to </w:t>
      </w:r>
      <w:hyperlink r:id="rId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441—204.10</w:t>
      </w:r>
      <w:r>
        <w:rPr>
          <w:rFonts w:ascii="Times New Roman" w:hAnsi="Times New Roman"/>
          <w:b/>
          <w:i w:val="false"/>
          <w:color w:val="000000"/>
          <w:sz w:val="22"/>
        </w:rPr>
        <w:t xml:space="preserve">(234) </w:t>
      </w:r>
      <w:r>
        <w:rPr>
          <w:rFonts w:ascii="Times New Roman" w:hAnsi="Times New Roman"/>
          <w:b/>
          <w:i w:val="false"/>
          <w:color w:val="000000"/>
          <w:sz w:val="22"/>
        </w:rPr>
        <w:t xml:space="preserve">Medical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eligible for subsidy are entitled to medical assistance as defined in </w:t>
      </w:r>
      <w:hyperlink r:id="rId1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When an Iowa child receives medical assistance from another state, Iowa shall discontinue paying any medical costs the month following the move unless additional time is necessary for a timely notice of decision to be provided to the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204.10(2)</w:t>
      </w:r>
      <w:r>
        <w:rPr>
          <w:rFonts w:ascii="Times New Roman" w:hAnsi="Times New Roman"/>
          <w:b w:val="false"/>
          <w:i w:val="false"/>
          <w:color w:val="000000"/>
          <w:sz w:val="22"/>
        </w:rPr>
        <w:t> </w:t>
      </w:r>
      <w:r>
        <w:rPr>
          <w:rFonts w:ascii="Times New Roman" w:hAnsi="Times New Roman"/>
          <w:b w:val="false"/>
          <w:i w:val="false"/>
          <w:color w:val="000000"/>
          <w:sz w:val="22"/>
        </w:rPr>
        <w:t>The funding source for medical assistance is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from Iowa residing in Iowa shall be covered by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from Iowa residing in another state shall receive medical assistance from the state of residence if eligible. Iowa shall provide medical assistance for children not eligible in their state of residence. Medical assistance available in the family’s state of residence may vary from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from another state residing in Iowa shall continue to be covered by the other state’s medical assistance unless the state has adopted the adoption assistance interstate compact and a contract between Iowa and the other state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2006 Iowa Acts, House File 2734</w:t>
      </w:r>
      <w:r>
        <w:rPr>
          <w:rFonts w:ascii="Times New Roman" w:hAnsi="Times New Roman"/>
          <w:b w:val="false"/>
          <w:i w:val="false"/>
          <w:color w:val="000000"/>
          <w:sz w:val="22"/>
        </w:rPr>
        <w:t>, section 17, subsection 11.</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emergency 9/15/06 after Notice 7/19/06—published 10/11/06,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ARC 8914B</w:t>
      </w:r>
      <w:r>
        <w:rPr>
          <w:rFonts w:ascii="Times New Roman" w:hAnsi="Times New Roman"/>
          <w:b w:val="false"/>
          <w:i w:val="false"/>
          <w:color w:val="000000"/>
          <w:sz w:val="21"/>
        </w:rPr>
        <w:t xml:space="preserve"> (Notice ARC 8701B,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4167C</w:t>
      </w:r>
      <w:r>
        <w:rPr>
          <w:rFonts w:ascii="Times New Roman" w:hAnsi="Times New Roman"/>
          <w:b w:val="false"/>
          <w:i w:val="false"/>
          <w:color w:val="000000"/>
          <w:sz w:val="21"/>
        </w:rPr>
        <w:t xml:space="preserve"> (Notice ARC 4032C, IAB 9/26/18)</w:t>
      </w:r>
      <w:r>
        <w:rPr>
          <w:rFonts w:ascii="Times New Roman" w:hAnsi="Times New Roman"/>
          <w:b w:val="false"/>
          <w:i w:val="false"/>
          <w:color w:val="000000"/>
          <w:sz w:val="21"/>
        </w:rPr>
        <w:t>, IAB 12/5/18, effective 2/1/19]</w:t>
      </w:r>
    </w:p>
    <w:p>
      <w:pPr>
        <w:spacing w:before="0" w:after="0"/>
        <w:ind w:left="120"/>
        <w:jc w:val="center"/>
      </w:pPr>
      <w:r>
        <w:rPr>
          <w:rFonts w:ascii="Times New Roman" w:hAnsi="Times New Roman"/>
          <w:b w:val="false"/>
          <w:i w:val="false"/>
          <w:color w:val="000000"/>
          <w:sz w:val="21"/>
        </w:rPr>
        <w:t>[Filed ARC 5680C</w:t>
      </w:r>
      <w:r>
        <w:rPr>
          <w:rFonts w:ascii="Times New Roman" w:hAnsi="Times New Roman"/>
          <w:b w:val="false"/>
          <w:i w:val="false"/>
          <w:color w:val="000000"/>
          <w:sz w:val="21"/>
        </w:rPr>
        <w:t xml:space="preserve"> (Notice ARC 5505C, IAB 3/10/21)</w:t>
      </w:r>
      <w:r>
        <w:rPr>
          <w:rFonts w:ascii="Times New Roman" w:hAnsi="Times New Roman"/>
          <w:b w:val="false"/>
          <w:i w:val="false"/>
          <w:color w:val="000000"/>
          <w:sz w:val="21"/>
        </w:rPr>
        <w:t>, IAB 6/16/21, effective 8/1/21]</w:t>
      </w:r>
    </w:p>
    <w:p>
      <w:pPr>
        <w:spacing w:before="0" w:after="0"/>
        <w:ind w:left="120"/>
        <w:jc w:val="center"/>
      </w:pPr>
      <w:r>
        <w:rPr>
          <w:rFonts w:ascii="Times New Roman" w:hAnsi="Times New Roman"/>
          <w:b w:val="false"/>
          <w:i w:val="false"/>
          <w:color w:val="000000"/>
          <w:sz w:val="21"/>
        </w:rPr>
        <w:t>[Filed ARC 6507C</w:t>
      </w:r>
      <w:r>
        <w:rPr>
          <w:rFonts w:ascii="Times New Roman" w:hAnsi="Times New Roman"/>
          <w:b w:val="false"/>
          <w:i w:val="false"/>
          <w:color w:val="000000"/>
          <w:sz w:val="21"/>
        </w:rPr>
        <w:t xml:space="preserve"> (Notice ARC 6367C,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8111C</w:t>
      </w:r>
      <w:r>
        <w:rPr>
          <w:rFonts w:ascii="Times New Roman" w:hAnsi="Times New Roman"/>
          <w:b w:val="false"/>
          <w:i w:val="false"/>
          <w:color w:val="000000"/>
          <w:sz w:val="21"/>
        </w:rPr>
        <w:t xml:space="preserve"> (Notice ARC 7359C, IAB 1/24/24)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B.2.pdf" Type="http://schemas.openxmlformats.org/officeDocument/2006/relationships/hyperlink" Id="rId5"/>
    <Relationship TargetMode="External" Target="https://www.legis.iowa.gov/docs/ico/chapter/232.104.pdf" Type="http://schemas.openxmlformats.org/officeDocument/2006/relationships/hyperlink" Id="rId6"/>
    <Relationship TargetMode="External" Target="https://www.legis.iowa.gov/docs/ico/chapter/232D.pdf" Type="http://schemas.openxmlformats.org/officeDocument/2006/relationships/hyperlink" Id="rId7"/>
    <Relationship TargetMode="External" Target="https://www.legis.iowa.gov/docs/iac/rule/441.156.6.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ac/rule/441.156.8.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ac/rule/441.204.3.pdf" Type="http://schemas.openxmlformats.org/officeDocument/2006/relationships/hyperlink" Id="rId13"/>
    <Relationship TargetMode="External" Target="https://www.legis.iowa.gov/docs/iac/rule/441.204.4.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ac/chapter/441.75.pdf" Type="http://schemas.openxmlformats.org/officeDocument/2006/relationships/hyperlink" Id="rId16"/>
    <Relationship TargetMode="External" Target="https://www.legis.iowa.gov/docs/ico/chapter/234.6.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