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w:t>
      </w:r>
    </w:p>
    <w:p>
      <w:pPr>
        <w:spacing w:before="0" w:after="0"/>
        <w:ind w:left="120"/>
        <w:jc w:val="center"/>
      </w:pPr>
      <w:r>
        <w:rPr>
          <w:rFonts w:ascii="Times New Roman" w:hAnsi="Times New Roman"/>
          <w:b w:val="false"/>
          <w:i w:val="false"/>
          <w:color w:val="000000"/>
          <w:sz w:val="21"/>
        </w:rPr>
        <w:t>IOWA ADOPTION EXCHANGE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441—203.1</w:t>
      </w:r>
      <w:r>
        <w:rPr>
          <w:rFonts w:ascii="Times New Roman" w:hAnsi="Times New Roman"/>
          <w:b/>
          <w:i w:val="false"/>
          <w:color w:val="000000"/>
          <w:sz w:val="22"/>
        </w:rPr>
        <w:t xml:space="preserve">(232)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“Children who are difficult to place” </w:t>
      </w:r>
      <w:r>
        <w:rPr>
          <w:rFonts w:ascii="Times New Roman" w:hAnsi="Times New Roman"/>
          <w:b w:val="false"/>
          <w:i w:val="false"/>
          <w:color w:val="000000"/>
          <w:sz w:val="22"/>
        </w:rPr>
        <w:t xml:space="preserve">means “child” as described in </w:t>
      </w:r>
      <w:hyperlink r:id="rId5">
        <w:r>
          <w:rPr>
            <w:rStyle w:val="Hyperlink"/>
            <w:rFonts w:ascii="Times New Roman" w:hAnsi="Times New Roman"/>
            <w:b w:val="false"/>
            <w:i w:val="false"/>
            <w:color w:val="000000"/>
            <w:sz w:val="22"/>
          </w:rPr>
          <w:t>441—subrule 201.3</w:t>
        </w:r>
      </w:hyperlink>
      <w:r>
        <w:rPr>
          <w:rFonts w:ascii="Times New Roman" w:hAnsi="Times New Roman"/>
          <w:b w:val="false"/>
          <w:i w:val="false"/>
          <w:color w:val="000000"/>
          <w:sz w:val="22"/>
        </w:rPr>
        <w:t xml:space="preserve">(1), children under state guardianship for whom an adoptive home is not available within 90 days after termination and children as part of a sibling group of more than three children.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adoption exchange system” </w:t>
      </w:r>
      <w:r>
        <w:rPr>
          <w:rFonts w:ascii="Times New Roman" w:hAnsi="Times New Roman"/>
          <w:b w:val="false"/>
          <w:i w:val="false"/>
          <w:color w:val="000000"/>
          <w:sz w:val="22"/>
        </w:rPr>
        <w:t xml:space="preserve">or </w:t>
      </w:r>
      <w:r>
        <w:rPr>
          <w:rFonts w:ascii="Times New Roman" w:hAnsi="Times New Roman"/>
          <w:b w:val="false"/>
          <w:i/>
          <w:color w:val="000000"/>
          <w:sz w:val="22"/>
        </w:rPr>
        <w:t>“exchange system”</w:t>
      </w:r>
      <w:r>
        <w:rPr>
          <w:rFonts w:ascii="Times New Roman" w:hAnsi="Times New Roman"/>
          <w:b w:val="false"/>
          <w:i w:val="false"/>
          <w:color w:val="000000"/>
          <w:sz w:val="22"/>
        </w:rPr>
        <w:t xml:space="preserve"> is a computerized system established to facilitate the adoptive placement of children by matching children legally available for adoption and approved families desiring to adopt a child who is difficult to place.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“Recruitment, retention, training and support (RRTS) contract” </w:t>
      </w:r>
      <w:r>
        <w:rPr>
          <w:rFonts w:ascii="Times New Roman" w:hAnsi="Times New Roman"/>
          <w:b w:val="false"/>
          <w:i w:val="false"/>
          <w:color w:val="000000"/>
          <w:sz w:val="22"/>
        </w:rPr>
        <w:t>means the state’s contractor(s) responsible for activities related to licensing foster families and approving adoptive families, providing support services to foster and preadoptive families, conducting preservice and in-service training, and assisting in matching children in need of foster home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441—203.2</w:t>
      </w:r>
      <w:r>
        <w:rPr>
          <w:rFonts w:ascii="Times New Roman" w:hAnsi="Times New Roman"/>
          <w:b/>
          <w:i w:val="false"/>
          <w:color w:val="000000"/>
          <w:sz w:val="22"/>
        </w:rPr>
        <w:t xml:space="preserve">(232) </w:t>
      </w:r>
      <w:r>
        <w:rPr>
          <w:rFonts w:ascii="Times New Roman" w:hAnsi="Times New Roman"/>
          <w:b/>
          <w:i w:val="false"/>
          <w:color w:val="000000"/>
          <w:sz w:val="22"/>
        </w:rPr>
        <w:t xml:space="preserve">Children to be registered on the exchange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203.2(1)</w:t>
      </w:r>
      <w:r>
        <w:rPr>
          <w:rFonts w:ascii="Times New Roman" w:hAnsi="Times New Roman"/>
          <w:b w:val="false"/>
          <w:i w:val="false"/>
          <w:color w:val="000000"/>
          <w:sz w:val="22"/>
        </w:rPr>
        <w:t> </w:t>
      </w:r>
      <w:r>
        <w:rPr>
          <w:rFonts w:ascii="Times New Roman" w:hAnsi="Times New Roman"/>
          <w:b w:val="false"/>
          <w:i w:val="false"/>
          <w:color w:val="000000"/>
          <w:sz w:val="22"/>
        </w:rPr>
        <w:t>All children who are difficult to place shall be registered on the exchange system within 60 days of receipt of the termination of parental rights court order unless a deferral is granted by the adoption program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203.2(2)</w:t>
      </w:r>
      <w:r>
        <w:rPr>
          <w:rFonts w:ascii="Times New Roman" w:hAnsi="Times New Roman"/>
          <w:b w:val="false"/>
          <w:i w:val="false"/>
          <w:color w:val="000000"/>
          <w:sz w:val="22"/>
        </w:rPr>
        <w:t> </w:t>
      </w:r>
      <w:r>
        <w:rPr>
          <w:rFonts w:ascii="Times New Roman" w:hAnsi="Times New Roman"/>
          <w:b w:val="false"/>
          <w:i w:val="false"/>
          <w:color w:val="000000"/>
          <w:sz w:val="22"/>
        </w:rPr>
        <w:t>Licensed child-placing agencies shall register a child whose parental rights have been terminated and who is under their guardianship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agency is registering fewer than four children in a calendar year, the agency shall submit the Waiting Child Enrollment form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agency registers more than three children in a calendar year, the agency shall access the exchange system and enter the child’s name and data.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441—203.3</w:t>
      </w:r>
      <w:r>
        <w:rPr>
          <w:rFonts w:ascii="Times New Roman" w:hAnsi="Times New Roman"/>
          <w:b/>
          <w:i w:val="false"/>
          <w:color w:val="000000"/>
          <w:sz w:val="22"/>
        </w:rPr>
        <w:t xml:space="preserve">(232) </w:t>
      </w:r>
      <w:r>
        <w:rPr>
          <w:rFonts w:ascii="Times New Roman" w:hAnsi="Times New Roman"/>
          <w:b/>
          <w:i w:val="false"/>
          <w:color w:val="000000"/>
          <w:sz w:val="22"/>
        </w:rPr>
        <w:t xml:space="preserve">Families to be registered on the exchange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203.3(1)</w:t>
      </w:r>
      <w:r>
        <w:rPr>
          <w:rFonts w:ascii="Times New Roman" w:hAnsi="Times New Roman"/>
          <w:b w:val="false"/>
          <w:i w:val="false"/>
          <w:color w:val="000000"/>
          <w:sz w:val="22"/>
        </w:rPr>
        <w:t> </w:t>
      </w:r>
      <w:r>
        <w:rPr>
          <w:rFonts w:ascii="Times New Roman" w:hAnsi="Times New Roman"/>
          <w:b w:val="false"/>
          <w:i w:val="false"/>
          <w:color w:val="000000"/>
          <w:sz w:val="22"/>
        </w:rPr>
        <w:t>Approved families wishing to adopt a child who is difficult to place shall be registered on the exchange system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203.3(2)</w:t>
      </w:r>
      <w:r>
        <w:rPr>
          <w:rFonts w:ascii="Times New Roman" w:hAnsi="Times New Roman"/>
          <w:b w:val="false"/>
          <w:i w:val="false"/>
          <w:color w:val="000000"/>
          <w:sz w:val="22"/>
        </w:rPr>
        <w:t> </w:t>
      </w:r>
      <w:r>
        <w:rPr>
          <w:rFonts w:ascii="Times New Roman" w:hAnsi="Times New Roman"/>
          <w:b w:val="false"/>
          <w:i w:val="false"/>
          <w:color w:val="000000"/>
          <w:sz w:val="22"/>
        </w:rPr>
        <w:t>Licensed child-placing agencies and certified adoption investigators shall register an approved family on the exchange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licensed child-placing agency is registering fewer than four families in a calendar year, the agency shall submit the Exchange Referral of Family form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licensed child-placing agency registers more than three children in a calendar year, the agency shall access the exchange system and enter the family’s name and data.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adoption investigators shall submit the Exchange Referral of Family form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441—203.4</w:t>
      </w:r>
      <w:r>
        <w:rPr>
          <w:rFonts w:ascii="Times New Roman" w:hAnsi="Times New Roman"/>
          <w:b/>
          <w:i w:val="false"/>
          <w:color w:val="000000"/>
          <w:sz w:val="22"/>
        </w:rPr>
        <w:t xml:space="preserve">(232) </w:t>
      </w:r>
      <w:r>
        <w:rPr>
          <w:rFonts w:ascii="Times New Roman" w:hAnsi="Times New Roman"/>
          <w:b/>
          <w:i w:val="false"/>
          <w:color w:val="000000"/>
          <w:sz w:val="22"/>
        </w:rPr>
        <w:t xml:space="preserve">Matching process. </w:t>
      </w:r>
      <w:r>
        <w:rPr>
          <w:rFonts w:ascii="Times New Roman" w:hAnsi="Times New Roman"/>
          <w:b w:val="false"/>
          <w:i w:val="false"/>
          <w:color w:val="000000"/>
          <w:sz w:val="22"/>
        </w:rPr>
        <w:t>Using the computerized exchange system, the department and licensed child-placing agencies shall search for approved families to meet the needs of the available children. The child’s and family’s workers shall be contacted for additional information needed to make an informed decision concerning possible adoptive placements.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232.119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11/15/91, Notice 9/18/91—published 12/11/91, effective 2/1/92]</w:t>
      </w:r>
    </w:p>
    <w:p>
      <w:pPr>
        <w:spacing w:before="0" w:after="0"/>
        <w:ind w:left="120"/>
        <w:jc w:val="center"/>
      </w:pPr>
      <w:r>
        <w:rPr>
          <w:rFonts w:ascii="Times New Roman" w:hAnsi="Times New Roman"/>
          <w:b w:val="false"/>
          <w:i w:val="false"/>
          <w:color w:val="000000"/>
          <w:sz w:val="21"/>
        </w:rPr>
        <w:t>[Filed ARC 6506C</w:t>
      </w:r>
      <w:r>
        <w:rPr>
          <w:rFonts w:ascii="Times New Roman" w:hAnsi="Times New Roman"/>
          <w:b w:val="false"/>
          <w:i w:val="false"/>
          <w:color w:val="000000"/>
          <w:sz w:val="21"/>
        </w:rPr>
        <w:t xml:space="preserve"> (Notice ARC 6365C, IAB 6/15/22)</w:t>
      </w:r>
      <w:r>
        <w:rPr>
          <w:rFonts w:ascii="Times New Roman" w:hAnsi="Times New Roman"/>
          <w:b w:val="false"/>
          <w:i w:val="false"/>
          <w:color w:val="000000"/>
          <w:sz w:val="21"/>
        </w:rPr>
        <w:t>, IAB 9/7/22, effective 11/1/22]</w:t>
      </w:r>
    </w:p>
    <w:p>
      <w:pPr>
        <w:spacing w:before="0" w:after="0"/>
        <w:ind w:left="120"/>
        <w:jc w:val="center"/>
      </w:pPr>
      <w:r>
        <w:rPr>
          <w:rFonts w:ascii="Times New Roman" w:hAnsi="Times New Roman"/>
          <w:b w:val="false"/>
          <w:i w:val="false"/>
          <w:color w:val="000000"/>
          <w:sz w:val="21"/>
        </w:rPr>
        <w:t>[Filed ARC 8069C</w:t>
      </w:r>
      <w:r>
        <w:rPr>
          <w:rFonts w:ascii="Times New Roman" w:hAnsi="Times New Roman"/>
          <w:b w:val="false"/>
          <w:i w:val="false"/>
          <w:color w:val="000000"/>
          <w:sz w:val="21"/>
        </w:rPr>
        <w:t xml:space="preserve"> (Notice ARC 7368C, IAB 1/24/24)</w:t>
      </w:r>
      <w:r>
        <w:rPr>
          <w:rFonts w:ascii="Times New Roman" w:hAnsi="Times New Roman"/>
          <w:b w:val="false"/>
          <w:i w:val="false"/>
          <w:color w:val="000000"/>
          <w:sz w:val="21"/>
        </w:rPr>
        <w:t>, IAB 6/12/24, effective 7/17/24]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201.3.pdf" Type="http://schemas.openxmlformats.org/officeDocument/2006/relationships/hyperlink" Id="rId5"/>
    <Relationship TargetMode="External" Target="https://www.legis.iowa.gov/docs/ico/chapter/232.11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