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w:t>
      </w:r>
    </w:p>
    <w:p>
      <w:pPr>
        <w:spacing w:before="0" w:after="0"/>
        <w:ind w:left="120"/>
        <w:jc w:val="center"/>
      </w:pPr>
      <w:r>
        <w:rPr>
          <w:rFonts w:ascii="Times New Roman" w:hAnsi="Times New Roman"/>
          <w:b w:val="false"/>
          <w:i w:val="false"/>
          <w:color w:val="000000"/>
          <w:sz w:val="21"/>
        </w:rPr>
        <w:t>SUBSIDIZED ADOPTIONS</w:t>
      </w:r>
    </w:p>
    <w:p>
      <w:pPr>
        <w:spacing w:before="0" w:after="0"/>
        <w:ind w:left="120"/>
        <w:jc w:val="center"/>
      </w:pPr>
      <w:r>
        <w:rPr>
          <w:rFonts w:ascii="Times New Roman" w:hAnsi="Times New Roman"/>
          <w:b w:val="false"/>
          <w:i w:val="false"/>
          <w:color w:val="000000"/>
          <w:sz w:val="14"/>
        </w:rPr>
        <w:t>[Prior to 7/1/83, Social Services(770), Ch 138]</w:t>
      </w:r>
    </w:p>
    <w:p>
      <w:pPr>
        <w:spacing w:before="0" w:after="0"/>
        <w:ind w:left="120"/>
        <w:jc w:val="center"/>
      </w:pPr>
      <w:r>
        <w:rPr>
          <w:rFonts w:ascii="Times New Roman" w:hAnsi="Times New Roman"/>
          <w:b w:val="false"/>
          <w:i w:val="false"/>
          <w:color w:val="000000"/>
          <w:sz w:val="14"/>
        </w:rPr>
        <w:t>[Previously appeared as Ch 138—renumbered IAB 2/29/84]</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1/1/30</w:t>
      </w:r>
    </w:p>
    <w:p>
      <w:pPr>
        <w:spacing w:before="0" w:after="0"/>
        <w:ind w:left="120"/>
        <w:jc w:val="both"/>
      </w:pPr>
      <w:r>
        <w:rPr>
          <w:rFonts w:ascii="Times New Roman" w:hAnsi="Times New Roman"/>
          <w:b/>
          <w:i w:val="false"/>
          <w:color w:val="000000"/>
          <w:sz w:val="22"/>
        </w:rPr>
        <w:t>441—201.1</w:t>
      </w:r>
      <w:r>
        <w:rPr>
          <w:rFonts w:ascii="Times New Roman" w:hAnsi="Times New Roman"/>
          <w:b/>
          <w:i w:val="false"/>
          <w:color w:val="000000"/>
          <w:sz w:val="22"/>
        </w:rPr>
        <w:t xml:space="preserve">(600) </w:t>
      </w:r>
      <w:r>
        <w:rPr>
          <w:rFonts w:ascii="Times New Roman" w:hAnsi="Times New Roman"/>
          <w:b/>
          <w:i w:val="false"/>
          <w:color w:val="000000"/>
          <w:sz w:val="22"/>
        </w:rPr>
        <w:t xml:space="preserve">Administration. </w:t>
      </w:r>
      <w:r>
        <w:rPr>
          <w:rFonts w:ascii="Times New Roman" w:hAnsi="Times New Roman"/>
          <w:b w:val="false"/>
          <w:i w:val="false"/>
          <w:color w:val="000000"/>
          <w:sz w:val="22"/>
        </w:rPr>
        <w:t>The department shall administer the subsidized adoption program, in conformance with the legal requirements for adoption.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441—201.2</w:t>
      </w:r>
      <w:r>
        <w:rPr>
          <w:rFonts w:ascii="Times New Roman" w:hAnsi="Times New Roman"/>
          <w:b/>
          <w:i w:val="false"/>
          <w:color w:val="000000"/>
          <w:sz w:val="22"/>
        </w:rPr>
        <w:t xml:space="preserve">(600)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not attained age 18 or a person with a physical or mental disability who has not attained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“Escrow account”</w:t>
      </w:r>
      <w:r>
        <w:rPr>
          <w:rFonts w:ascii="Times New Roman" w:hAnsi="Times New Roman"/>
          <w:b w:val="false"/>
          <w:i w:val="false"/>
          <w:color w:val="000000"/>
          <w:sz w:val="22"/>
        </w:rPr>
        <w:t> </w:t>
      </w:r>
      <w:r>
        <w:rPr>
          <w:rFonts w:ascii="Times New Roman" w:hAnsi="Times New Roman"/>
          <w:b w:val="false"/>
          <w:i w:val="false"/>
          <w:color w:val="000000"/>
          <w:sz w:val="22"/>
        </w:rPr>
        <w:t>means an interest-bearing account in a bank or savings and loan association that is maintained by the department in the name of a particular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“Maintenance subsidy”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monthly payment to assist the family in meeting the living expenses and expenses related to the care of a child with special needs in covering the cost of room, board, clothing, and spending money. The child will also be eligible for medical assistance pursuant to </w:t>
      </w:r>
      <w:hyperlink r:id="rId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“Nonrecurring expenses”</w:t>
      </w:r>
      <w:r>
        <w:rPr>
          <w:rFonts w:ascii="Times New Roman" w:hAnsi="Times New Roman"/>
          <w:b w:val="false"/>
          <w:i w:val="false"/>
          <w:color w:val="000000"/>
          <w:sz w:val="22"/>
        </w:rPr>
        <w:t> </w:t>
      </w:r>
      <w:r>
        <w:rPr>
          <w:rFonts w:ascii="Times New Roman" w:hAnsi="Times New Roman"/>
          <w:b w:val="false"/>
          <w:i w:val="false"/>
          <w:color w:val="000000"/>
          <w:sz w:val="22"/>
        </w:rPr>
        <w:t>means reasonable and necessary adoption fees, court costs, attorney fees and other expenses that are directly related to the legal adoption of a child with special needs. These shall be limited to attorney fees, court filing fees and other court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licensed medical or osteopathic doctor as defined in rule </w:t>
      </w:r>
      <w:hyperlink r:id="rId6">
        <w:r>
          <w:rPr>
            <w:rStyle w:val="Hyperlink"/>
            <w:rFonts w:ascii="Times New Roman" w:hAnsi="Times New Roman"/>
            <w:b w:val="false"/>
            <w:i w:val="false"/>
            <w:color w:val="000000"/>
            <w:sz w:val="22"/>
          </w:rPr>
          <w:t>441—77.1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“Presubsidy”</w:t>
      </w:r>
      <w:r>
        <w:rPr>
          <w:rFonts w:ascii="Times New Roman" w:hAnsi="Times New Roman"/>
          <w:b w:val="false"/>
          <w:i w:val="false"/>
          <w:color w:val="000000"/>
          <w:sz w:val="22"/>
        </w:rPr>
        <w:t> </w:t>
      </w:r>
      <w:r>
        <w:rPr>
          <w:rFonts w:ascii="Times New Roman" w:hAnsi="Times New Roman"/>
          <w:b w:val="false"/>
          <w:i w:val="false"/>
          <w:color w:val="000000"/>
          <w:sz w:val="22"/>
        </w:rPr>
        <w:t>means payment for maintenance or special services for a child with special needs who is placed in an adoptive home and who meets all eligibility criteria for maintenance subsidy but whose adoption is not finalized.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intellectual disability professional”</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at least one year of experience working directly with persons with an intellectual disability or other developmental disabilities and who is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doctor of medicine or osteopathy.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registered nurse.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who holds at least a bachelor’s degree in a human services field, including but not limited to social work, sociology, special education, rehabilitation counseling, or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mental health professional”</w:t>
      </w:r>
      <w:r>
        <w:rPr>
          <w:rFonts w:ascii="Times New Roman" w:hAnsi="Times New Roman"/>
          <w:b w:val="false"/>
          <w:i w:val="false"/>
          <w:color w:val="000000"/>
          <w:sz w:val="22"/>
        </w:rPr>
        <w:t> </w:t>
      </w:r>
      <w:r>
        <w:rPr>
          <w:rFonts w:ascii="Times New Roman" w:hAnsi="Times New Roman"/>
          <w:b w:val="false"/>
          <w:i w:val="false"/>
          <w:color w:val="000000"/>
          <w:sz w:val="22"/>
        </w:rPr>
        <w:t>means a person who meets all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Holds a master’s degree in a mental health field, including but not limited to psychology, counseling and guidance, psychiatric nursing, or social work; or is a doctor of medicine or osteopathic medicine;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Holds a current Iowa license when required by the Iowa professional licensure laws for persons practicing as a psychiatrist, a psychologist, a marital and family therapist, a mental health counselor, an advanced registered nurse practitioner, a psychiatric nurse, or a social worker;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at least two years of postdegree experience supervised by a mental health professional in assessing mental health problems, mental illness, and services needs and in providing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services subsidy”</w:t>
      </w:r>
      <w:r>
        <w:rPr>
          <w:rFonts w:ascii="Times New Roman" w:hAnsi="Times New Roman"/>
          <w:b w:val="false"/>
          <w:i w:val="false"/>
          <w:color w:val="000000"/>
          <w:sz w:val="22"/>
        </w:rPr>
        <w:t> </w:t>
      </w:r>
      <w:r>
        <w:rPr>
          <w:rFonts w:ascii="Times New Roman" w:hAnsi="Times New Roman"/>
          <w:b w:val="false"/>
          <w:i w:val="false"/>
          <w:color w:val="000000"/>
          <w:sz w:val="22"/>
        </w:rPr>
        <w:t>means payment to a provider or reimbursement to the parent for medical, dental, therapeutic, or other services, equipment or appliances required by a child to meet the child’s identified special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441—201.3</w:t>
      </w:r>
      <w:r>
        <w:rPr>
          <w:rFonts w:ascii="Times New Roman" w:hAnsi="Times New Roman"/>
          <w:b/>
          <w:i w:val="false"/>
          <w:color w:val="000000"/>
          <w:sz w:val="22"/>
        </w:rPr>
        <w:t xml:space="preserve">(600) </w:t>
      </w:r>
      <w:r>
        <w:rPr>
          <w:rFonts w:ascii="Times New Roman" w:hAnsi="Times New Roman"/>
          <w:b/>
          <w:i w:val="false"/>
          <w:color w:val="000000"/>
          <w:sz w:val="22"/>
        </w:rPr>
        <w:t xml:space="preserve">Conditions of eligibility or ineligibility.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w:t>
      </w:r>
      <w:r>
        <w:rPr>
          <w:rFonts w:ascii="Times New Roman" w:hAnsi="Times New Roman"/>
          <w:b w:val="false"/>
          <w:i w:val="false"/>
          <w:color w:val="000000"/>
          <w:sz w:val="22"/>
        </w:rPr>
        <w:t> </w:t>
      </w:r>
      <w:r>
        <w:rPr>
          <w:rFonts w:ascii="Times New Roman" w:hAnsi="Times New Roman"/>
          <w:b w:val="false"/>
          <w:i w:val="false"/>
          <w:color w:val="000000"/>
          <w:sz w:val="22"/>
        </w:rPr>
        <w:t>The child is eligible for subsidy when the department or a private agency has documented that it has been unable to place the child in an appropriate adoptive home without a subsidy and the child is determined to be a child with special needs based on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has a medically diagnosed disability, as determined by a physician, an advanced registered nurse practitioner or a physician associate, that substantially limits one or more major life activities, requires ongoing professional treatment, impacts the child’s ability to perform daily living skills, and is expected to last 12 months or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has been determined by a qualified intellectual disability professional to be intellectually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has been determined by a qualified professional to be at high risk of developing a qualifying medical, mental, or emotional condition as defined in this subrule. A child in this group is eligible for subsidy of nonrecurring expenses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has been diagnosed by a qualified mental health professional to have a psychiatric condition that impairs the child’s mental, intellectual, or social functioning and for which the child requires ongoing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has been diagnosed by a qualified mental health professional to have a behavioral or emotional disorder characterized by situationally inappropriate behavior that deviates substantially from behavior appropriate to the child’s age or significantly interferes with the child’s intellectual, social and personal adjustment and that requires ongoing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child is aged five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child is a member of a sibling group of three or more children who are placed in the same adoptive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who enters the United States from another country on the basis of a visa classifying the child as an orphan, in accordance with the Immigration and Naturalization Act as amended to December 31, 2023, for the purpose of adoption by a specific United States family is not eligible for subsidized adoption maintenance payments, medical assistance, or special services, except for nonrecurring 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201.3(3)</w:t>
      </w:r>
      <w:r>
        <w:rPr>
          <w:rFonts w:ascii="Times New Roman" w:hAnsi="Times New Roman"/>
          <w:b w:val="false"/>
          <w:i w:val="false"/>
          <w:color w:val="000000"/>
          <w:sz w:val="22"/>
        </w:rPr>
        <w:t> </w:t>
      </w:r>
      <w:r>
        <w:rPr>
          <w:rFonts w:ascii="Times New Roman" w:hAnsi="Times New Roman"/>
          <w:b w:val="false"/>
          <w:i w:val="false"/>
          <w:color w:val="000000"/>
          <w:sz w:val="22"/>
        </w:rPr>
        <w:t xml:space="preserve">Adverse eligibility determinations by the department may be appealed according to rules in </w:t>
      </w:r>
      <w:hyperlink r:id="rId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201.3(4)</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subsidy agreement when the child reaches the age of 17½ to determine whether the child is eligible to receive subsidy to the age of 21 due to the child’s physical, intellectual, or mental health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disability shall be diagnosed by a physician, a qualified mental health professional, or a qualified intellectual disability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diagnosis shall be current within one year prior to the child’s eighteenth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child’s parents shall provide documentation of the child’s disability.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441—201.4</w:t>
      </w:r>
      <w:r>
        <w:rPr>
          <w:rFonts w:ascii="Times New Roman" w:hAnsi="Times New Roman"/>
          <w:b/>
          <w:i w:val="false"/>
          <w:color w:val="000000"/>
          <w:sz w:val="22"/>
        </w:rPr>
        <w:t xml:space="preserve">(600) </w:t>
      </w:r>
      <w:r>
        <w:rPr>
          <w:rFonts w:ascii="Times New Roman" w:hAnsi="Times New Roman"/>
          <w:b/>
          <w:i w:val="false"/>
          <w:color w:val="000000"/>
          <w:sz w:val="22"/>
        </w:rPr>
        <w:t xml:space="preserve">Application. </w:t>
      </w:r>
      <w:r>
        <w:rPr>
          <w:rFonts w:ascii="Times New Roman" w:hAnsi="Times New Roman"/>
          <w:b w:val="false"/>
          <w:i w:val="false"/>
          <w:color w:val="000000"/>
          <w:sz w:val="22"/>
        </w:rPr>
        <w:t>Application for presubsidy or subsidy for a child with special needs in the guardianship of the department shall be made at the time of the adoptive placement of the child, or at any time in the adoptive process before finalization of the adoption.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w:t>
      </w:r>
      <w:r>
        <w:rPr>
          <w:rFonts w:ascii="Times New Roman" w:hAnsi="Times New Roman"/>
          <w:b w:val="false"/>
          <w:i w:val="false"/>
          <w:color w:val="000000"/>
          <w:sz w:val="22"/>
        </w:rPr>
        <w:t> </w:t>
      </w:r>
      <w:r>
        <w:rPr>
          <w:rFonts w:ascii="Times New Roman" w:hAnsi="Times New Roman"/>
          <w:b w:val="false"/>
          <w:i w:val="false"/>
          <w:color w:val="000000"/>
          <w:sz w:val="22"/>
        </w:rPr>
        <w:t>The prospective adoptive family residing in Iowa who has been studied and approved for adoptive placement, or a family residing outside of the state of Iowa studied and approved by a governmental child-placing agency or a licensed child-placing agency in that state, may apply for subsidy for an eligible Iowa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201.4(2)</w:t>
      </w:r>
      <w:r>
        <w:rPr>
          <w:rFonts w:ascii="Times New Roman" w:hAnsi="Times New Roman"/>
          <w:b w:val="false"/>
          <w:i w:val="false"/>
          <w:color w:val="000000"/>
          <w:sz w:val="22"/>
        </w:rPr>
        <w:t> </w:t>
      </w:r>
      <w:r>
        <w:rPr>
          <w:rFonts w:ascii="Times New Roman" w:hAnsi="Times New Roman"/>
          <w:b w:val="false"/>
          <w:i w:val="false"/>
          <w:color w:val="000000"/>
          <w:sz w:val="22"/>
        </w:rPr>
        <w:t>Withdrawal of the subsidy application shall be reported to the department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201.4(3)</w:t>
      </w:r>
      <w:r>
        <w:rPr>
          <w:rFonts w:ascii="Times New Roman" w:hAnsi="Times New Roman"/>
          <w:b w:val="false"/>
          <w:i w:val="false"/>
          <w:color w:val="000000"/>
          <w:sz w:val="22"/>
        </w:rPr>
        <w:t> </w:t>
      </w:r>
      <w:r>
        <w:rPr>
          <w:rFonts w:ascii="Times New Roman" w:hAnsi="Times New Roman"/>
          <w:b w:val="false"/>
          <w:i w:val="false"/>
          <w:color w:val="000000"/>
          <w:sz w:val="22"/>
        </w:rPr>
        <w:t>The effective date for the Adoption Subsidy Agreement will be the date the agreement is signed by the adoptive parents and the department, which may be the date the child is placed in the adoptive home or any date up to and including the date the adoption is finalized. The agreement shall state the amount of the presubsidy or subsidy, the frequency and duration of payments and the conditions under which the agreement may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201.4(4)</w:t>
      </w:r>
      <w:r>
        <w:rPr>
          <w:rFonts w:ascii="Times New Roman" w:hAnsi="Times New Roman"/>
          <w:b w:val="false"/>
          <w:i w:val="false"/>
          <w:color w:val="000000"/>
          <w:sz w:val="22"/>
        </w:rPr>
        <w:t> </w:t>
      </w:r>
      <w:r>
        <w:rPr>
          <w:rFonts w:ascii="Times New Roman" w:hAnsi="Times New Roman"/>
          <w:b w:val="false"/>
          <w:i w:val="false"/>
          <w:color w:val="000000"/>
          <w:sz w:val="22"/>
        </w:rPr>
        <w:t>An application for subsidy cannot be taken after the child is adopted except when there are facts relevant to a child’s eligibility that were not presented before the finalizing of the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receiving verification that the child was eligible before the child’s adoption, the department may conduct an administrative review of the facts and may determine that the child is an eligible child with special needs. Eligibility will be effective after the Application for Subsidy is completed and the Adoption Subsidy Agreement form is signed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for determination after the adoption is finalized shall be forwarded with verification of eligibility to the department. The department shall conduct an administrative review of eligibility factors and render a written decision within 30 days of receipt of request and verification materials unless additional verification is requested. If additional verification is requested, a decision shall be reached within 30 days of receipt of additional verification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201.4(5)</w:t>
      </w:r>
      <w:r>
        <w:rPr>
          <w:rFonts w:ascii="Times New Roman" w:hAnsi="Times New Roman"/>
          <w:b w:val="false"/>
          <w:i w:val="false"/>
          <w:color w:val="000000"/>
          <w:sz w:val="22"/>
        </w:rPr>
        <w:t> </w:t>
      </w:r>
      <w:r>
        <w:rPr>
          <w:rFonts w:ascii="Times New Roman" w:hAnsi="Times New Roman"/>
          <w:b w:val="false"/>
          <w:i w:val="false"/>
          <w:color w:val="000000"/>
          <w:sz w:val="22"/>
        </w:rPr>
        <w:t>A child in the guardianship of a licensed child-placing agency may be eligible for adoption subsidy when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receives or is eligible to receive SSI based on a diagnosed disability,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received federally funded adoption subsidy in a prior adoption.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441—201.5</w:t>
      </w:r>
      <w:r>
        <w:rPr>
          <w:rFonts w:ascii="Times New Roman" w:hAnsi="Times New Roman"/>
          <w:b/>
          <w:i w:val="false"/>
          <w:color w:val="000000"/>
          <w:sz w:val="22"/>
        </w:rPr>
        <w:t xml:space="preserve">(600) </w:t>
      </w:r>
      <w:r>
        <w:rPr>
          <w:rFonts w:ascii="Times New Roman" w:hAnsi="Times New Roman"/>
          <w:b/>
          <w:i w:val="false"/>
          <w:color w:val="000000"/>
          <w:sz w:val="22"/>
        </w:rPr>
        <w:t xml:space="preserve">Negotiation of amount of presubsidy or subsidy.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w:t>
      </w:r>
      <w:r>
        <w:rPr>
          <w:rFonts w:ascii="Times New Roman" w:hAnsi="Times New Roman"/>
          <w:b w:val="false"/>
          <w:i w:val="false"/>
          <w:color w:val="000000"/>
          <w:sz w:val="22"/>
        </w:rPr>
        <w:t> </w:t>
      </w:r>
      <w:r>
        <w:rPr>
          <w:rFonts w:ascii="Times New Roman" w:hAnsi="Times New Roman"/>
          <w:b w:val="false"/>
          <w:i w:val="false"/>
          <w:color w:val="000000"/>
          <w:sz w:val="22"/>
        </w:rPr>
        <w:t>The amount of presubsidy or subsidy shall be negotiated between the department and the adoptive parents and shall be based upon the needs of the child and the circumstances of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time negotiations are completed, the Adoption Subsidy Agreement shall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Adoption Subsidy Agreement shall be completed and retained in an inactive case record for future reference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child is eligible for subsidy but the child or family does not currently need assistance;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at risk of being determined a child with special needs according to paragraph </w:t>
      </w:r>
      <w:hyperlink r:id="rId8">
        <w:r>
          <w:rPr>
            <w:rStyle w:val="Hyperlink"/>
            <w:rFonts w:ascii="Times New Roman" w:hAnsi="Times New Roman"/>
            <w:b w:val="false"/>
            <w:i w:val="false"/>
            <w:color w:val="000000"/>
            <w:sz w:val="22"/>
          </w:rPr>
          <w:t>201.3(1)</w:t>
        </w:r>
      </w:hyperlink>
      <w:r>
        <w:rPr>
          <w:rFonts w:ascii="Times New Roman" w:hAnsi="Times New Roman"/>
          <w:b w:val="false"/>
          <w:i/>
          <w:color w:val="000000"/>
          <w:sz w:val="22"/>
        </w:rPr>
        <w:t>“a,” “b,” “d,”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201.5(2)</w:t>
      </w:r>
      <w:r>
        <w:rPr>
          <w:rFonts w:ascii="Times New Roman" w:hAnsi="Times New Roman"/>
          <w:b w:val="false"/>
          <w:i w:val="false"/>
          <w:color w:val="000000"/>
          <w:sz w:val="22"/>
        </w:rPr>
        <w:t> </w:t>
      </w:r>
      <w:r>
        <w:rPr>
          <w:rFonts w:ascii="Times New Roman" w:hAnsi="Times New Roman"/>
          <w:b w:val="false"/>
          <w:i w:val="false"/>
          <w:color w:val="000000"/>
          <w:sz w:val="22"/>
        </w:rPr>
        <w:t>Other services available to the family free of charge to meet the needs of the child, such as other federal, state, and local governmental and private assistance programs, shall be explored and used before the expenditure of subsidy funds.</w:t>
      </w:r>
    </w:p>
    <w:p>
      <w:pPr>
        <w:spacing w:before="0" w:after="0"/>
        <w:ind w:left="120"/>
        <w:jc w:val="both"/>
      </w:pPr>
      <w:r>
        <w:rPr>
          <w:rFonts w:ascii="Times New Roman" w:hAnsi="Times New Roman"/>
          <w:b w:val="false"/>
          <w:i w:val="false"/>
          <w:color w:val="000000"/>
          <w:sz w:val="22"/>
        </w:rPr>
        <w:t>Unearned income of the child shall be verified by documentation provided to the department worker by the family from the source of the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201.5(3)</w:t>
      </w:r>
      <w:r>
        <w:rPr>
          <w:rFonts w:ascii="Times New Roman" w:hAnsi="Times New Roman"/>
          <w:b w:val="false"/>
          <w:i w:val="false"/>
          <w:color w:val="000000"/>
          <w:sz w:val="22"/>
        </w:rPr>
        <w:t> </w:t>
      </w:r>
      <w:r>
        <w:rPr>
          <w:rFonts w:ascii="Times New Roman" w:hAnsi="Times New Roman"/>
          <w:b w:val="false"/>
          <w:i w:val="false"/>
          <w:color w:val="000000"/>
          <w:sz w:val="22"/>
        </w:rPr>
        <w:t>A maintenance subsidy may be no less than $10 per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201.5(4)</w:t>
      </w:r>
      <w:r>
        <w:rPr>
          <w:rFonts w:ascii="Times New Roman" w:hAnsi="Times New Roman"/>
          <w:b w:val="false"/>
          <w:i w:val="false"/>
          <w:color w:val="000000"/>
          <w:sz w:val="22"/>
        </w:rPr>
        <w:t> </w:t>
      </w:r>
      <w:r>
        <w:rPr>
          <w:rFonts w:ascii="Times New Roman" w:hAnsi="Times New Roman"/>
          <w:b w:val="false"/>
          <w:i w:val="false"/>
          <w:color w:val="000000"/>
          <w:sz w:val="22"/>
        </w:rPr>
        <w:t>An adoptive family may request a review of the subsidy agreement when there is a change in the family’s circumstances or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201.5(5)</w:t>
      </w:r>
      <w:r>
        <w:rPr>
          <w:rFonts w:ascii="Times New Roman" w:hAnsi="Times New Roman"/>
          <w:b w:val="false"/>
          <w:i w:val="false"/>
          <w:color w:val="000000"/>
          <w:sz w:val="22"/>
        </w:rPr>
        <w:t> </w:t>
      </w:r>
      <w:r>
        <w:rPr>
          <w:rFonts w:ascii="Times New Roman" w:hAnsi="Times New Roman"/>
          <w:b w:val="false"/>
          <w:i w:val="false"/>
          <w:color w:val="000000"/>
          <w:sz w:val="22"/>
        </w:rPr>
        <w:t>Maintenance subsidy shall continue under the same rules if the adoptive family moves outside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monthly maintenance payment for a child in subsidized adoption shall be made pursuant to the foster family care maintenance rates according to the age and special needs of the child as found at rule </w:t>
      </w:r>
      <w:hyperlink r:id="rId9">
        <w:r>
          <w:rPr>
            <w:rStyle w:val="Hyperlink"/>
            <w:rFonts w:ascii="Times New Roman" w:hAnsi="Times New Roman"/>
            <w:b w:val="false"/>
            <w:i w:val="false"/>
            <w:color w:val="000000"/>
            <w:sz w:val="22"/>
          </w:rPr>
          <w:t>441—156.6</w:t>
        </w:r>
      </w:hyperlink>
      <w:r>
        <w:rPr>
          <w:rFonts w:ascii="Times New Roman" w:hAnsi="Times New Roman"/>
          <w:b w:val="false"/>
          <w:i w:val="false"/>
          <w:color w:val="000000"/>
          <w:sz w:val="22"/>
        </w:rPr>
        <w:t xml:space="preserve">(234).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monthly maintenance payment for a child in subsidized adoption shall be made pursuant to the foster family care maintenance rates according to the age and special needs of the child as found in </w:t>
      </w:r>
      <w:hyperlink r:id="rId10">
        <w:r>
          <w:rPr>
            <w:rStyle w:val="Hyperlink"/>
            <w:rFonts w:ascii="Times New Roman" w:hAnsi="Times New Roman"/>
            <w:b w:val="false"/>
            <w:i w:val="false"/>
            <w:color w:val="000000"/>
            <w:sz w:val="22"/>
          </w:rPr>
          <w:t>441—subrule 156.6(1)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441—paragraph 156.6(4)</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eligible adoptions that take place on or after July 1, 2025. Eligible subsidized and future subsidized adoptions that took place on  June 30, 2025, or before will remain on the basic rate in effect on June 30, 2025.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Basic rate effective July 1, 2025:</w:t>
      </w: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Age of child</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u w:val="single"/>
              </w:rPr>
              <w:t>Daily rate</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0 through 5</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$18.50</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6 through 11</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$19.24</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12 through 15</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$21.06</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16 or older</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$21.34</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 xml:space="preserve">; </w:t>
      </w:r>
      <w:r>
        <w:rPr>
          <w:rFonts w:ascii="Times New Roman" w:hAnsi="Times New Roman"/>
          <w:b/>
          <w:i w:val="false"/>
          <w:color w:val="000000"/>
          <w:sz w:val="16"/>
        </w:rPr>
        <w:t>ARC 9860C</w:t>
      </w:r>
      <w:r>
        <w:rPr>
          <w:rFonts w:ascii="Times New Roman" w:hAnsi="Times New Roman"/>
          <w:b w:val="false"/>
          <w:i w:val="false"/>
          <w:color w:val="000000"/>
          <w:sz w:val="16"/>
        </w:rPr>
        <w:t>, IAB 12/24/25, effective 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441—201.6</w:t>
      </w:r>
      <w:r>
        <w:rPr>
          <w:rFonts w:ascii="Times New Roman" w:hAnsi="Times New Roman"/>
          <w:b/>
          <w:i w:val="false"/>
          <w:color w:val="000000"/>
          <w:sz w:val="22"/>
        </w:rPr>
        <w:t xml:space="preserve">(600) </w:t>
      </w:r>
      <w:r>
        <w:rPr>
          <w:rFonts w:ascii="Times New Roman" w:hAnsi="Times New Roman"/>
          <w:b/>
          <w:i w:val="false"/>
          <w:color w:val="000000"/>
          <w:sz w:val="22"/>
        </w:rPr>
        <w:t xml:space="preserve">Types of subsidy.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w:t>
      </w:r>
      <w:r>
        <w:rPr>
          <w:rFonts w:ascii="Times New Roman" w:hAnsi="Times New Roman"/>
          <w:b w:val="false"/>
          <w:i w:val="false"/>
          <w:color w:val="000000"/>
          <w:sz w:val="22"/>
        </w:rPr>
        <w:t> </w:t>
      </w:r>
      <w:r>
        <w:rPr>
          <w:rFonts w:ascii="Times New Roman" w:hAnsi="Times New Roman"/>
          <w:b w:val="false"/>
          <w:i/>
          <w:color w:val="000000"/>
          <w:sz w:val="22"/>
        </w:rPr>
        <w:t xml:space="preserve">Special services only.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Reimbursement to the family or direct payment to a provider may be made for the following special services needed to meet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Outpatient counseling or therapy services. Reimbursement for outpatient individual or family services may be provided from a non-Medicaid provider only with approval from the department and when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services are not available from a Medicaid provider within a reasonable distance from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and the family were already receiving therapy or counseling from a non-Medicaid provider and it would not be in the child’s best interest to disrupt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Available Medicaid providers lack experience in working with foster, adoptive, or blended families.</w:t>
      </w:r>
    </w:p>
    <w:p>
      <w:pPr>
        <w:spacing w:before="0" w:after="0"/>
        <w:ind w:left="120"/>
        <w:jc w:val="both"/>
      </w:pPr>
      <w:r>
        <w:rPr>
          <w:rFonts w:ascii="Times New Roman" w:hAnsi="Times New Roman"/>
          <w:b w:val="false"/>
          <w:i w:val="false"/>
          <w:color w:val="000000"/>
          <w:sz w:val="22"/>
        </w:rPr>
        <w:t>Reimbursement to non-Medicaid providers shall be limited to the Medicaid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Expenses for transportation, lodging, or per diem related to preplacement visits, not to exceed $2,000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services not covered by the Medicaid program when the child, either alone or with the family, resides outside the state of Iowa and that state’s Medicaid does not cover a needed service, or a provider enrolled with Iowa Medicaid cannot be secured. An adoption subsidy payment shall not supplement the Medicaid payment rate to a Medicaid provider or a non-Medicaid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additional premium amount as a result of adding the child to the family’s health insurance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Medical transportation, food and lodging not covered by Medicaid when the child is receiving specialized care in a facility 50 miles or farther from the family home, when the family is participating in services and to facilitate reunification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Supplies and equipment as required by the child’s special needs and unavailable through other 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siblings in a sibling group of three or more are placed together, a one-time-only payment can be made, not to exceed $500 per child, to reimburse the family for expenses related to accommodating the needs of the sibling group.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home modifications have been authorized to accommodate a child’s special needs and the family later sells the house, the family shall repay the department an amount equal to the increase in the equity value of the home attributable to the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Nonrecurring expenses. Payment for nonrecurring expenses is generally limited to a total of $1,000 per child for attorney fees, court costs and other related legal expenses. Nonrecurring expenses may be paid when the adoptive family has negotiated an Adoption Subsidy Agreement or an Agreement to Future Adoption Subsidy.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Funeral benefits at the amount allowed for a foster child in accordance with </w:t>
      </w:r>
      <w:hyperlink r:id="rId12">
        <w:r>
          <w:rPr>
            <w:rStyle w:val="Hyperlink"/>
            <w:rFonts w:ascii="Times New Roman" w:hAnsi="Times New Roman"/>
            <w:b w:val="false"/>
            <w:i w:val="false"/>
            <w:color w:val="000000"/>
            <w:sz w:val="22"/>
          </w:rPr>
          <w:t>441—Chapter 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need for special services shall be documented in the Adoption Subsidy Agreement. The family shall provide documentation of expenses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single special service and any special service delivered over a 12-month period costing $500 or more shall have prior approval from the central office adoption program manager prior to expending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Medicaid covered services, the department shall reimburse at the same rate and duration as Medicaid as set forth in rule </w:t>
      </w:r>
      <w:hyperlink r:id="rId13">
        <w:r>
          <w:rPr>
            <w:rStyle w:val="Hyperlink"/>
            <w:rFonts w:ascii="Times New Roman" w:hAnsi="Times New Roman"/>
            <w:b w:val="false"/>
            <w:i w:val="false"/>
            <w:color w:val="000000"/>
            <w:sz w:val="22"/>
          </w:rPr>
          <w:t>441—79.1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201.6(2)</w:t>
      </w:r>
      <w:r>
        <w:rPr>
          <w:rFonts w:ascii="Times New Roman" w:hAnsi="Times New Roman"/>
          <w:b w:val="false"/>
          <w:i w:val="false"/>
          <w:color w:val="000000"/>
          <w:sz w:val="22"/>
        </w:rPr>
        <w:t> </w:t>
      </w:r>
      <w:r>
        <w:rPr>
          <w:rFonts w:ascii="Times New Roman" w:hAnsi="Times New Roman"/>
          <w:b w:val="false"/>
          <w:i/>
          <w:color w:val="000000"/>
          <w:sz w:val="22"/>
        </w:rPr>
        <w:t xml:space="preserve">Maintenance only. </w:t>
      </w:r>
      <w:r>
        <w:rPr>
          <w:rFonts w:ascii="Times New Roman" w:hAnsi="Times New Roman"/>
          <w:b w:val="false"/>
          <w:i w:val="false"/>
          <w:color w:val="000000"/>
          <w:sz w:val="22"/>
        </w:rPr>
        <w:t xml:space="preserve">A monthly payment to assist with room, board, clothing and spending money may be provided, as determined under this chapter. The child will also be eligible for medical assistance pursuant to </w:t>
      </w:r>
      <w:hyperlink r:id="rId1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201.6(3)</w:t>
      </w:r>
      <w:r>
        <w:rPr>
          <w:rFonts w:ascii="Times New Roman" w:hAnsi="Times New Roman"/>
          <w:b w:val="false"/>
          <w:i w:val="false"/>
          <w:color w:val="000000"/>
          <w:sz w:val="22"/>
        </w:rPr>
        <w:t> </w:t>
      </w:r>
      <w:r>
        <w:rPr>
          <w:rFonts w:ascii="Times New Roman" w:hAnsi="Times New Roman"/>
          <w:b w:val="false"/>
          <w:i/>
          <w:color w:val="000000"/>
          <w:sz w:val="22"/>
        </w:rPr>
        <w:t xml:space="preserve">Maintenance and special services. </w:t>
      </w:r>
      <w:r>
        <w:rPr>
          <w:rFonts w:ascii="Times New Roman" w:hAnsi="Times New Roman"/>
          <w:b w:val="false"/>
          <w:i w:val="false"/>
          <w:color w:val="000000"/>
          <w:sz w:val="22"/>
        </w:rPr>
        <w:t>For children with special needs, a special services subsidy may also be included when a maintenance subsidy is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441—201.7</w:t>
      </w:r>
      <w:r>
        <w:rPr>
          <w:rFonts w:ascii="Times New Roman" w:hAnsi="Times New Roman"/>
          <w:b/>
          <w:i w:val="false"/>
          <w:color w:val="000000"/>
          <w:sz w:val="22"/>
        </w:rPr>
        <w:t xml:space="preserve">(600) </w:t>
      </w:r>
      <w:r>
        <w:rPr>
          <w:rFonts w:ascii="Times New Roman" w:hAnsi="Times New Roman"/>
          <w:b/>
          <w:i w:val="false"/>
          <w:color w:val="000000"/>
          <w:sz w:val="22"/>
        </w:rPr>
        <w:t xml:space="preserve">Determination of ongoing subsidy eligibility and suspension of subsidy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w:t>
      </w:r>
      <w:r>
        <w:rPr>
          <w:rFonts w:ascii="Times New Roman" w:hAnsi="Times New Roman"/>
          <w:b w:val="false"/>
          <w:i w:val="false"/>
          <w:color w:val="000000"/>
          <w:sz w:val="22"/>
        </w:rPr>
        <w:t> </w:t>
      </w:r>
      <w:r>
        <w:rPr>
          <w:rFonts w:ascii="Times New Roman" w:hAnsi="Times New Roman"/>
          <w:b w:val="false"/>
          <w:i w:val="false"/>
          <w:color w:val="000000"/>
          <w:sz w:val="22"/>
        </w:rPr>
        <w:t>Eligibility for continuation of adoption subsidy shall be evaluated when the department has reasonable cause to suspect the adoptive parent is not providing financial support or is no longer legally responsible for the child. This includes but is not limited to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is placed in out-of-home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alleges the parents are not providing financial support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other than the parent is awarded legal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other than the parent is appointed as the guardian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has applied for food assistance or other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child has not resided with the parent for the past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parent is incarcerated.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parent is awaiting trial for criminal charges related to harm caused to a child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201.7(2)</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contact the child’s parents via letter, telephone, or electronic or other means and document such efforts.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201.7(3)</w:t>
      </w:r>
      <w:r>
        <w:rPr>
          <w:rFonts w:ascii="Times New Roman" w:hAnsi="Times New Roman"/>
          <w:b w:val="false"/>
          <w:i w:val="false"/>
          <w:color w:val="000000"/>
          <w:sz w:val="22"/>
        </w:rPr>
        <w:t> </w:t>
      </w:r>
      <w:r>
        <w:rPr>
          <w:rFonts w:ascii="Times New Roman" w:hAnsi="Times New Roman"/>
          <w:b w:val="false"/>
          <w:i w:val="false"/>
          <w:color w:val="000000"/>
          <w:sz w:val="22"/>
        </w:rPr>
        <w:t>The child’s parents shall provide documentation of support, including receipts,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201.7(4)</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department’s evaluation of the child’s continued eligibility for adoption subsidy, the department will issue a written notice to the parents documenting required ongoing actions by the parents, including an expectation of continued cooperation by the parents to provide documentation of ongoing support to the child at the request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201.7(5)</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suspend adoption subsidy payments if the parents refuse to cooperate or if the department is unable to determine whether the parents are providing financial support or are legally responsible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201.7(6)</w:t>
      </w:r>
      <w:r>
        <w:rPr>
          <w:rFonts w:ascii="Times New Roman" w:hAnsi="Times New Roman"/>
          <w:b w:val="false"/>
          <w:i w:val="false"/>
          <w:color w:val="000000"/>
          <w:sz w:val="22"/>
        </w:rPr>
        <w:t> </w:t>
      </w:r>
      <w:r>
        <w:rPr>
          <w:rFonts w:ascii="Times New Roman" w:hAnsi="Times New Roman"/>
          <w:b w:val="false"/>
          <w:i w:val="false"/>
          <w:color w:val="000000"/>
          <w:sz w:val="22"/>
        </w:rPr>
        <w:t>Through a Notice of Decision, the department shall terminate the Adoption Subsidy Agreement upon a finding that the child is not being financially supported.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201.7(7)</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child has resided out of the parental home for 30 consecutive days, the department will request a renegotiation of the Adoption Subsidy Agreement with the parents to reduce or suspend payments as agreed to by the parents.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441—201.8</w:t>
      </w:r>
      <w:r>
        <w:rPr>
          <w:rFonts w:ascii="Times New Roman" w:hAnsi="Times New Roman"/>
          <w:b/>
          <w:i w:val="false"/>
          <w:color w:val="000000"/>
          <w:sz w:val="22"/>
        </w:rPr>
        <w:t xml:space="preserve">(600) </w:t>
      </w:r>
      <w:r>
        <w:rPr>
          <w:rFonts w:ascii="Times New Roman" w:hAnsi="Times New Roman"/>
          <w:b/>
          <w:i w:val="false"/>
          <w:color w:val="000000"/>
          <w:sz w:val="22"/>
        </w:rPr>
        <w:t xml:space="preserve">Termination of subsidy. </w:t>
      </w:r>
      <w:r>
        <w:rPr>
          <w:rFonts w:ascii="Times New Roman" w:hAnsi="Times New Roman"/>
          <w:b w:val="false"/>
          <w:i w:val="false"/>
          <w:color w:val="000000"/>
          <w:sz w:val="22"/>
        </w:rPr>
        <w:t>Subsidy will terminate when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adoptive child no longer meets the definition of child in rule </w:t>
      </w:r>
      <w:hyperlink r:id="rId15">
        <w:r>
          <w:rPr>
            <w:rStyle w:val="Hyperlink"/>
            <w:rFonts w:ascii="Times New Roman" w:hAnsi="Times New Roman"/>
            <w:b w:val="false"/>
            <w:i w:val="false"/>
            <w:color w:val="000000"/>
            <w:sz w:val="22"/>
          </w:rPr>
          <w:t>441—201.1(600)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201.8(2)</w:t>
      </w:r>
      <w:r>
        <w:rPr>
          <w:rFonts w:ascii="Times New Roman" w:hAnsi="Times New Roman"/>
          <w:b w:val="false"/>
          <w:i w:val="false"/>
          <w:color w:val="000000"/>
          <w:sz w:val="22"/>
        </w:rPr>
        <w:t> </w:t>
      </w:r>
      <w:r>
        <w:rPr>
          <w:rFonts w:ascii="Times New Roman" w:hAnsi="Times New Roman"/>
          <w:b w:val="false"/>
          <w:i w:val="false"/>
          <w:color w:val="000000"/>
          <w:sz w:val="22"/>
        </w:rPr>
        <w:t>The child marries.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201.8(3)</w:t>
      </w:r>
      <w:r>
        <w:rPr>
          <w:rFonts w:ascii="Times New Roman" w:hAnsi="Times New Roman"/>
          <w:b w:val="false"/>
          <w:i w:val="false"/>
          <w:color w:val="000000"/>
          <w:sz w:val="22"/>
        </w:rPr>
        <w:t> </w:t>
      </w:r>
      <w:r>
        <w:rPr>
          <w:rFonts w:ascii="Times New Roman" w:hAnsi="Times New Roman"/>
          <w:b w:val="false"/>
          <w:i w:val="false"/>
          <w:color w:val="000000"/>
          <w:sz w:val="22"/>
        </w:rPr>
        <w:t>The adoptive parents are no longer using the maintenance payments to support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201.8(4)</w:t>
      </w:r>
      <w:r>
        <w:rPr>
          <w:rFonts w:ascii="Times New Roman" w:hAnsi="Times New Roman"/>
          <w:b w:val="false"/>
          <w:i w:val="false"/>
          <w:color w:val="000000"/>
          <w:sz w:val="22"/>
        </w:rPr>
        <w:t> </w:t>
      </w:r>
      <w:r>
        <w:rPr>
          <w:rFonts w:ascii="Times New Roman" w:hAnsi="Times New Roman"/>
          <w:b w:val="false"/>
          <w:i w:val="false"/>
          <w:color w:val="000000"/>
          <w:sz w:val="22"/>
        </w:rPr>
        <w:t>Death of the child or death of the parents of the child (one in a single-parent family and both in a two-parent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201.8(5)</w:t>
      </w:r>
      <w:r>
        <w:rPr>
          <w:rFonts w:ascii="Times New Roman" w:hAnsi="Times New Roman"/>
          <w:b w:val="false"/>
          <w:i w:val="false"/>
          <w:color w:val="000000"/>
          <w:sz w:val="22"/>
        </w:rPr>
        <w:t> </w:t>
      </w:r>
      <w:r>
        <w:rPr>
          <w:rFonts w:ascii="Times New Roman" w:hAnsi="Times New Roman"/>
          <w:b w:val="false"/>
          <w:i w:val="false"/>
          <w:color w:val="000000"/>
          <w:sz w:val="22"/>
        </w:rPr>
        <w:t>Upon conclusion of the terms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w:t>
      </w:r>
      <w:r>
        <w:rPr>
          <w:rFonts w:ascii="Times New Roman" w:hAnsi="Times New Roman"/>
          <w:b w:val="false"/>
          <w:i w:val="false"/>
          <w:color w:val="000000"/>
          <w:sz w:val="22"/>
        </w:rPr>
        <w:t> </w:t>
      </w:r>
      <w:r>
        <w:rPr>
          <w:rFonts w:ascii="Times New Roman" w:hAnsi="Times New Roman"/>
          <w:b w:val="false"/>
          <w:i w:val="false"/>
          <w:color w:val="000000"/>
          <w:sz w:val="22"/>
        </w:rPr>
        <w:t>Upon request of the adoptive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201.8(7)</w:t>
      </w:r>
      <w:r>
        <w:rPr>
          <w:rFonts w:ascii="Times New Roman" w:hAnsi="Times New Roman"/>
          <w:b w:val="false"/>
          <w:i w:val="false"/>
          <w:color w:val="000000"/>
          <w:sz w:val="22"/>
        </w:rPr>
        <w:t> </w:t>
      </w:r>
      <w:r>
        <w:rPr>
          <w:rFonts w:ascii="Times New Roman" w:hAnsi="Times New Roman"/>
          <w:b w:val="false"/>
          <w:i w:val="false"/>
          <w:color w:val="000000"/>
          <w:sz w:val="22"/>
        </w:rPr>
        <w:t>The adoptive parents are no longer legally responsible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201.8(8)</w:t>
      </w:r>
      <w:r>
        <w:rPr>
          <w:rFonts w:ascii="Times New Roman" w:hAnsi="Times New Roman"/>
          <w:b w:val="false"/>
          <w:i w:val="false"/>
          <w:color w:val="000000"/>
          <w:sz w:val="22"/>
        </w:rPr>
        <w:t> </w:t>
      </w:r>
      <w:r>
        <w:rPr>
          <w:rFonts w:ascii="Times New Roman" w:hAnsi="Times New Roman"/>
          <w:b w:val="false"/>
          <w:i w:val="false"/>
          <w:color w:val="000000"/>
          <w:sz w:val="22"/>
        </w:rPr>
        <w:t>The child enlists in the military.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441—201.9</w:t>
      </w:r>
      <w:r>
        <w:rPr>
          <w:rFonts w:ascii="Times New Roman" w:hAnsi="Times New Roman"/>
          <w:b/>
          <w:i w:val="false"/>
          <w:color w:val="000000"/>
          <w:sz w:val="22"/>
        </w:rPr>
        <w:t xml:space="preserve">(600) </w:t>
      </w:r>
      <w:r>
        <w:rPr>
          <w:rFonts w:ascii="Times New Roman" w:hAnsi="Times New Roman"/>
          <w:b/>
          <w:i w:val="false"/>
          <w:color w:val="000000"/>
          <w:sz w:val="22"/>
        </w:rPr>
        <w:t xml:space="preserve">Reinstatement of subsidy. </w:t>
      </w:r>
      <w:r>
        <w:rPr>
          <w:rFonts w:ascii="Times New Roman" w:hAnsi="Times New Roman"/>
          <w:b w:val="false"/>
          <w:i w:val="false"/>
          <w:color w:val="000000"/>
          <w:sz w:val="22"/>
        </w:rPr>
        <w:t xml:space="preserve">Reinstatement of subsidy will be made when the subsidy was terminated because of reasons in subrule </w:t>
      </w:r>
      <w:hyperlink r:id="rId16">
        <w:r>
          <w:rPr>
            <w:rStyle w:val="Hyperlink"/>
            <w:rFonts w:ascii="Times New Roman" w:hAnsi="Times New Roman"/>
            <w:b w:val="false"/>
            <w:i w:val="false"/>
            <w:color w:val="000000"/>
            <w:sz w:val="22"/>
          </w:rPr>
          <w:t>201.8(3)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201.8(6)</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201.8(7)</w:t>
        </w:r>
      </w:hyperlink>
      <w:r>
        <w:rPr>
          <w:rFonts w:ascii="Times New Roman" w:hAnsi="Times New Roman"/>
          <w:b w:val="false"/>
          <w:i w:val="false"/>
          <w:color w:val="000000"/>
          <w:sz w:val="22"/>
        </w:rPr>
        <w:t xml:space="preserve"> and the reason for termination no longer exists.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441—201.10</w:t>
      </w:r>
      <w:r>
        <w:rPr>
          <w:rFonts w:ascii="Times New Roman" w:hAnsi="Times New Roman"/>
          <w:b/>
          <w:i w:val="false"/>
          <w:color w:val="000000"/>
          <w:sz w:val="22"/>
        </w:rPr>
        <w:t xml:space="preserve">(600) </w:t>
      </w:r>
      <w:r>
        <w:rPr>
          <w:rFonts w:ascii="Times New Roman" w:hAnsi="Times New Roman"/>
          <w:b/>
          <w:i w:val="false"/>
          <w:color w:val="000000"/>
          <w:sz w:val="22"/>
        </w:rPr>
        <w:t xml:space="preserve">New application. </w:t>
      </w:r>
      <w:r>
        <w:rPr>
          <w:rFonts w:ascii="Times New Roman" w:hAnsi="Times New Roman"/>
          <w:b w:val="false"/>
          <w:i w:val="false"/>
          <w:color w:val="000000"/>
          <w:sz w:val="22"/>
        </w:rPr>
        <w:t>New applications will be taken at any time, but processed only so long as funds are available. Maintenance and special services already approved will continue.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441—201.11</w:t>
      </w:r>
      <w:r>
        <w:rPr>
          <w:rFonts w:ascii="Times New Roman" w:hAnsi="Times New Roman"/>
          <w:b/>
          <w:i w:val="false"/>
          <w:color w:val="000000"/>
          <w:sz w:val="22"/>
        </w:rPr>
        <w:t xml:space="preserve">(600) </w:t>
      </w:r>
      <w:r>
        <w:rPr>
          <w:rFonts w:ascii="Times New Roman" w:hAnsi="Times New Roman"/>
          <w:b/>
          <w:i w:val="false"/>
          <w:color w:val="000000"/>
          <w:sz w:val="22"/>
        </w:rPr>
        <w:t xml:space="preserve">Medical assistance based on residency. </w:t>
      </w:r>
      <w:r>
        <w:rPr>
          <w:rFonts w:ascii="Times New Roman" w:hAnsi="Times New Roman"/>
          <w:b w:val="false"/>
          <w:i w:val="false"/>
          <w:color w:val="000000"/>
          <w:sz w:val="22"/>
        </w:rPr>
        <w:t xml:space="preserve">Children with special needs eligible for any type of subsidy are entitled to medical assistance as defined in </w:t>
      </w:r>
      <w:hyperlink r:id="rId1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The funding source for medical assistance is based 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201.11(1)</w:t>
      </w:r>
      <w:r>
        <w:rPr>
          <w:rFonts w:ascii="Times New Roman" w:hAnsi="Times New Roman"/>
          <w:b w:val="false"/>
          <w:i w:val="false"/>
          <w:color w:val="000000"/>
          <w:sz w:val="22"/>
        </w:rPr>
        <w:t> </w:t>
      </w:r>
      <w:r>
        <w:rPr>
          <w:rFonts w:ascii="Times New Roman" w:hAnsi="Times New Roman"/>
          <w:b w:val="false"/>
          <w:i w:val="false"/>
          <w:color w:val="000000"/>
          <w:sz w:val="22"/>
        </w:rPr>
        <w:t>IV-E-eligible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IV-E-eligible children residing in Iowa from Iowa and from other states shall receive medical assistance from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IV-E-eligible children from Iowa residing in another state shall receive medical assistance from the family’s state of residence, even though medical assistance available in the family’s state of residence may vary from Iowa’s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201.11(2)</w:t>
      </w:r>
      <w:r>
        <w:rPr>
          <w:rFonts w:ascii="Times New Roman" w:hAnsi="Times New Roman"/>
          <w:b w:val="false"/>
          <w:i w:val="false"/>
          <w:color w:val="000000"/>
          <w:sz w:val="22"/>
        </w:rPr>
        <w:t> </w:t>
      </w:r>
      <w:r>
        <w:rPr>
          <w:rFonts w:ascii="Times New Roman" w:hAnsi="Times New Roman"/>
          <w:b w:val="false"/>
          <w:i w:val="false"/>
          <w:color w:val="000000"/>
          <w:sz w:val="22"/>
        </w:rPr>
        <w:t>Non-IV-E-eligible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Non-IV-E-eligible children from Iowa residing in Iowa shall be covered by Iowa’s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Non-IV-E-eligible children from Iowa residing in another state shall be covered by Iowa’s medical assistance unless eligible for benefits from the other state pursuant to a program funded under Title XIX of the federal Social Security Act as amended to December 31,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Non-IV-E-eligible children from another state residing in Iowa shall be covered by Iowa’s medical assistance if all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is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is residing in Iowa in a private home with the child’s adoptive parent or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Another state is currently paying an adoption subsidy for the child pursuant to an adoption assistance agreement in effect for the child with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state paying the adoption subsidy is a member of the interstate compact on adoption and medical assistance (ICAMA).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state paying the adoption subsidy provides medical assistance benefits pursuant to a program funded under Title XIX of the Social Security Act, under the optional group at Section 1902(a)(10)(A)(ii)(VIII) of the Act as amended to December 31, 2023, to children residing in that state (at least until age 18) for whom there is a state adoption assistance agreement in effect with the state of Iowa other than under Title IV-E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201.11(3)</w:t>
      </w:r>
      <w:r>
        <w:rPr>
          <w:rFonts w:ascii="Times New Roman" w:hAnsi="Times New Roman"/>
          <w:b w:val="false"/>
          <w:i w:val="false"/>
          <w:color w:val="000000"/>
          <w:sz w:val="22"/>
        </w:rPr>
        <w:t> </w:t>
      </w:r>
      <w:r>
        <w:rPr>
          <w:rFonts w:ascii="Times New Roman" w:hAnsi="Times New Roman"/>
          <w:b w:val="false"/>
          <w:i w:val="false"/>
          <w:color w:val="000000"/>
          <w:sz w:val="22"/>
        </w:rPr>
        <w:t>When an Iowa child receives medical assistance from another state, Iowa shall discontinue paying any medical costs the month following the move unless additional time is necessary for a timely notice of decision to be provided to the family. An exception shall be made when the initial Iowa subsidy agreement provides for services not covered by the other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441—201.12</w:t>
      </w:r>
      <w:r>
        <w:rPr>
          <w:rFonts w:ascii="Times New Roman" w:hAnsi="Times New Roman"/>
          <w:b/>
          <w:i w:val="false"/>
          <w:color w:val="000000"/>
          <w:sz w:val="22"/>
        </w:rPr>
        <w:t xml:space="preserve">(600) </w:t>
      </w:r>
      <w:r>
        <w:rPr>
          <w:rFonts w:ascii="Times New Roman" w:hAnsi="Times New Roman"/>
          <w:b/>
          <w:i w:val="false"/>
          <w:color w:val="000000"/>
          <w:sz w:val="22"/>
        </w:rPr>
        <w:t xml:space="preserve">Presubsidy recovery. </w:t>
      </w:r>
      <w:r>
        <w:rPr>
          <w:rFonts w:ascii="Times New Roman" w:hAnsi="Times New Roman"/>
          <w:b w:val="false"/>
          <w:i w:val="false"/>
          <w:color w:val="000000"/>
          <w:sz w:val="22"/>
        </w:rPr>
        <w:t>The department will recover the cost of presubsidy maintenance and special services provided by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201.12(1)</w:t>
      </w:r>
      <w:r>
        <w:rPr>
          <w:rFonts w:ascii="Times New Roman" w:hAnsi="Times New Roman"/>
          <w:b w:val="false"/>
          <w:i w:val="false"/>
          <w:color w:val="000000"/>
          <w:sz w:val="22"/>
        </w:rPr>
        <w:t> </w:t>
      </w:r>
      <w:r>
        <w:rPr>
          <w:rFonts w:ascii="Times New Roman" w:hAnsi="Times New Roman"/>
          <w:b w:val="false"/>
          <w:i w:val="false"/>
          <w:color w:val="000000"/>
          <w:sz w:val="22"/>
        </w:rPr>
        <w:t>Funds will be applied to the cost of presubsidy maintenance and special services from the unearned income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201.12(2)</w:t>
      </w:r>
      <w:r>
        <w:rPr>
          <w:rFonts w:ascii="Times New Roman" w:hAnsi="Times New Roman"/>
          <w:b w:val="false"/>
          <w:i w:val="false"/>
          <w:color w:val="000000"/>
          <w:sz w:val="22"/>
        </w:rPr>
        <w:t> </w:t>
      </w:r>
      <w:r>
        <w:rPr>
          <w:rFonts w:ascii="Times New Roman" w:hAnsi="Times New Roman"/>
          <w:b w:val="false"/>
          <w:i w:val="false"/>
          <w:color w:val="000000"/>
          <w:sz w:val="22"/>
        </w:rPr>
        <w:t>The department will serve as payee to receive the child’s unearned income. The income will be placed in an account and be applied toward the cost of the child’s current care with the remainder placed in an escrow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201.12(3)</w:t>
      </w:r>
      <w:r>
        <w:rPr>
          <w:rFonts w:ascii="Times New Roman" w:hAnsi="Times New Roman"/>
          <w:b w:val="false"/>
          <w:i w:val="false"/>
          <w:color w:val="000000"/>
          <w:sz w:val="22"/>
        </w:rPr>
        <w:t> </w:t>
      </w:r>
      <w:r>
        <w:rPr>
          <w:rFonts w:ascii="Times New Roman" w:hAnsi="Times New Roman"/>
          <w:b w:val="false"/>
          <w:i w:val="false"/>
          <w:color w:val="000000"/>
          <w:sz w:val="22"/>
        </w:rPr>
        <w:t>When a child has funds in escrow, these funds may be used by the department to meet the current needs of the child not covered by the presubsidy payments and not prohibited by the source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201.12(4)</w:t>
      </w:r>
      <w:r>
        <w:rPr>
          <w:rFonts w:ascii="Times New Roman" w:hAnsi="Times New Roman"/>
          <w:b w:val="false"/>
          <w:i w:val="false"/>
          <w:color w:val="000000"/>
          <w:sz w:val="22"/>
        </w:rPr>
        <w:t> </w:t>
      </w:r>
      <w:r>
        <w:rPr>
          <w:rFonts w:ascii="Times New Roman" w:hAnsi="Times New Roman"/>
          <w:b w:val="false"/>
          <w:i w:val="false"/>
          <w:color w:val="000000"/>
          <w:sz w:val="22"/>
        </w:rPr>
        <w:t>When the child leaves presubsidy care, funds in the escrow shall be paid to the adoptive parents or to the child if the child has attained the age of majority.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0">
        <w:r>
          <w:rPr>
            <w:rStyle w:val="Hyperlink"/>
            <w:rFonts w:ascii="Times New Roman" w:hAnsi="Times New Roman"/>
            <w:b w:val="false"/>
            <w:i w:val="false"/>
            <w:color w:val="000000"/>
            <w:sz w:val="22"/>
          </w:rPr>
          <w:t>600.17 to 600.23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2/23/72]</w:t>
      </w:r>
    </w:p>
    <w:p>
      <w:pPr>
        <w:spacing w:before="0" w:after="0"/>
        <w:ind w:left="120"/>
        <w:jc w:val="center"/>
      </w:pPr>
      <w:r>
        <w:rPr>
          <w:rFonts w:ascii="Times New Roman" w:hAnsi="Times New Roman"/>
          <w:b w:val="false"/>
          <w:i w:val="false"/>
          <w:color w:val="000000"/>
          <w:sz w:val="21"/>
        </w:rPr>
        <w:t>[Filed 4/13/77, Notice 2/23/77—published 5/4/77, effective 6/8/77]</w:t>
      </w:r>
    </w:p>
    <w:p>
      <w:pPr>
        <w:spacing w:before="0" w:after="0"/>
        <w:ind w:left="120"/>
        <w:jc w:val="center"/>
      </w:pPr>
      <w:r>
        <w:rPr>
          <w:rFonts w:ascii="Times New Roman" w:hAnsi="Times New Roman"/>
          <w:b w:val="false"/>
          <w:i w:val="false"/>
          <w:color w:val="000000"/>
          <w:sz w:val="21"/>
        </w:rPr>
        <w:t>[Filed 3/25/83, Notice 1/19/83—published 4/13/83, effective 6/1/83]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1/21/88, Notice 12/16/87—published 2/10/88, effective 4/1/88]</w:t>
      </w:r>
    </w:p>
    <w:p>
      <w:pPr>
        <w:spacing w:before="0" w:after="0"/>
        <w:ind w:left="120"/>
        <w:jc w:val="center"/>
      </w:pPr>
      <w:r>
        <w:rPr>
          <w:rFonts w:ascii="Times New Roman" w:hAnsi="Times New Roman"/>
          <w:b w:val="false"/>
          <w:i w:val="false"/>
          <w:color w:val="000000"/>
          <w:sz w:val="21"/>
        </w:rPr>
        <w:t>[Filed 4/14/89, Notice 3/8/89—published 5/3/89, effective 7/1/89]</w:t>
      </w:r>
    </w:p>
    <w:p>
      <w:pPr>
        <w:spacing w:before="0" w:after="0"/>
        <w:ind w:left="120"/>
        <w:jc w:val="center"/>
      </w:pPr>
      <w:r>
        <w:rPr>
          <w:rFonts w:ascii="Times New Roman" w:hAnsi="Times New Roman"/>
          <w:b w:val="false"/>
          <w:i w:val="false"/>
          <w:color w:val="000000"/>
          <w:sz w:val="21"/>
        </w:rPr>
        <w:t>[Filed 9/15/89, Notice 7/26/89—published 10/4/89, effective 12/1/89]</w:t>
      </w:r>
    </w:p>
    <w:p>
      <w:pPr>
        <w:spacing w:before="0" w:after="0"/>
        <w:ind w:left="120"/>
        <w:jc w:val="center"/>
      </w:pPr>
      <w:r>
        <w:rPr>
          <w:rFonts w:ascii="Times New Roman" w:hAnsi="Times New Roman"/>
          <w:b w:val="false"/>
          <w:i w:val="false"/>
          <w:color w:val="000000"/>
          <w:sz w:val="21"/>
        </w:rPr>
        <w:t>[Filed 1/17/91, Notice 11/28/90—published 2/6/91, effective 4/1/91]</w:t>
      </w:r>
    </w:p>
    <w:p>
      <w:pPr>
        <w:spacing w:before="0" w:after="0"/>
        <w:ind w:left="120"/>
        <w:jc w:val="center"/>
      </w:pPr>
      <w:r>
        <w:rPr>
          <w:rFonts w:ascii="Times New Roman" w:hAnsi="Times New Roman"/>
          <w:b w:val="false"/>
          <w:i w:val="false"/>
          <w:color w:val="000000"/>
          <w:sz w:val="21"/>
        </w:rPr>
        <w:t>[Filed 11/15/91, Notice 9/18/91—published 12/11/91, effective 2/1/92]</w:t>
      </w:r>
    </w:p>
    <w:p>
      <w:pPr>
        <w:spacing w:before="0" w:after="0"/>
        <w:ind w:left="120"/>
        <w:jc w:val="center"/>
      </w:pPr>
      <w:r>
        <w:rPr>
          <w:rFonts w:ascii="Times New Roman" w:hAnsi="Times New Roman"/>
          <w:b w:val="false"/>
          <w:i w:val="false"/>
          <w:color w:val="000000"/>
          <w:sz w:val="21"/>
        </w:rPr>
        <w:t>[Filed emergency 6/11/92—published 7/8/92, effective 7/1/92]</w:t>
      </w:r>
    </w:p>
    <w:p>
      <w:pPr>
        <w:spacing w:before="0" w:after="0"/>
        <w:ind w:left="120"/>
        <w:jc w:val="center"/>
      </w:pPr>
      <w:r>
        <w:rPr>
          <w:rFonts w:ascii="Times New Roman" w:hAnsi="Times New Roman"/>
          <w:b w:val="false"/>
          <w:i w:val="false"/>
          <w:color w:val="000000"/>
          <w:sz w:val="21"/>
        </w:rPr>
        <w:t>[Filed 8/14/92, Notice 7/8/92—published 9/2/92, effective 10/7/92]</w:t>
      </w:r>
    </w:p>
    <w:p>
      <w:pPr>
        <w:spacing w:before="0" w:after="0"/>
        <w:ind w:left="120"/>
        <w:jc w:val="center"/>
      </w:pPr>
      <w:r>
        <w:rPr>
          <w:rFonts w:ascii="Times New Roman" w:hAnsi="Times New Roman"/>
          <w:b w:val="false"/>
          <w:i w:val="false"/>
          <w:color w:val="000000"/>
          <w:sz w:val="21"/>
        </w:rPr>
        <w:t>[Filed 5/14/93, Notice 3/31/93—published 6/9/93, effective 8/1/93]</w:t>
      </w:r>
    </w:p>
    <w:p>
      <w:pPr>
        <w:spacing w:before="0" w:after="0"/>
        <w:ind w:left="120"/>
        <w:jc w:val="center"/>
      </w:pPr>
      <w:r>
        <w:rPr>
          <w:rFonts w:ascii="Times New Roman" w:hAnsi="Times New Roman"/>
          <w:b w:val="false"/>
          <w:i w:val="false"/>
          <w:color w:val="000000"/>
          <w:sz w:val="21"/>
        </w:rPr>
        <w:t>[Filed 9/17/93, Notice 7/21/93—published 10/13/93, effective 1/1/94]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4/13/95, Notice 2/15/95—published 5/10/95, effective 7/1/95]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8/13/97, Notice 7/2/97—published 9/10/97, effective 11/1/97]</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7/15/99, Notice 6/2/99—published 8/11/99, effective 10/1/99]</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10/10/03, Notice 8/20/03—published 10/29/03, effective 1/1/04]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Without Notice 12/16/03—published 1/7/04, effective 3/10/04]</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emergency 4/15/05 after Notice 3/2/05—published 5/11/05, effective 5/1/05]</w:t>
      </w:r>
    </w:p>
    <w:p>
      <w:pPr>
        <w:spacing w:before="0" w:after="0"/>
        <w:ind w:left="120"/>
        <w:jc w:val="center"/>
      </w:pPr>
      <w:r>
        <w:rPr>
          <w:rFonts w:ascii="Times New Roman" w:hAnsi="Times New Roman"/>
          <w:b w:val="false"/>
          <w:i w:val="false"/>
          <w:color w:val="000000"/>
          <w:sz w:val="21"/>
        </w:rPr>
        <w:t>[Filed emergency 7/15/05 after Notice 5/25/05—published 8/3/05, effective 8/1/05]</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12/13/06 after Notice 11/8/06—published 1/3/07, effective 1/1/07]</w:t>
      </w:r>
    </w:p>
    <w:p>
      <w:pPr>
        <w:spacing w:before="0" w:after="0"/>
        <w:ind w:left="120"/>
        <w:jc w:val="center"/>
      </w:pPr>
      <w:r>
        <w:rPr>
          <w:rFonts w:ascii="Times New Roman" w:hAnsi="Times New Roman"/>
          <w:b w:val="false"/>
          <w:i w:val="false"/>
          <w:color w:val="000000"/>
          <w:sz w:val="21"/>
        </w:rPr>
        <w:t>[Filed 4/11/07, Notice 2/28/07—published 5/9/07, effective 7/1/07]</w:t>
      </w:r>
    </w:p>
    <w:p>
      <w:pPr>
        <w:spacing w:before="0" w:after="0"/>
        <w:ind w:left="120"/>
        <w:jc w:val="center"/>
      </w:pPr>
      <w:r>
        <w:rPr>
          <w:rFonts w:ascii="Times New Roman" w:hAnsi="Times New Roman"/>
          <w:b w:val="false"/>
          <w:i w:val="false"/>
          <w:color w:val="000000"/>
          <w:sz w:val="21"/>
        </w:rPr>
        <w:t>[Filed 2/13/08, Notice 12/5/07—published 3/12/08, effective 4/16/08]</w:t>
      </w:r>
    </w:p>
    <w:p>
      <w:pPr>
        <w:spacing w:before="0" w:after="0"/>
        <w:ind w:left="120"/>
        <w:jc w:val="center"/>
      </w:pPr>
      <w:r>
        <w:rPr>
          <w:rFonts w:ascii="Times New Roman" w:hAnsi="Times New Roman"/>
          <w:b w:val="false"/>
          <w:i w:val="false"/>
          <w:color w:val="000000"/>
          <w:sz w:val="21"/>
        </w:rPr>
        <w:t>[Filed Emergency ARC 8451B, IAB 1/13/10, effective 1/1/10]</w:t>
      </w:r>
    </w:p>
    <w:p>
      <w:pPr>
        <w:spacing w:before="0" w:after="0"/>
        <w:ind w:left="120"/>
        <w:jc w:val="center"/>
      </w:pPr>
      <w:r>
        <w:rPr>
          <w:rFonts w:ascii="Times New Roman" w:hAnsi="Times New Roman"/>
          <w:b w:val="false"/>
          <w:i w:val="false"/>
          <w:color w:val="000000"/>
          <w:sz w:val="21"/>
        </w:rPr>
        <w:t>[Filed ARC 8653B</w:t>
      </w:r>
      <w:r>
        <w:rPr>
          <w:rFonts w:ascii="Times New Roman" w:hAnsi="Times New Roman"/>
          <w:b w:val="false"/>
          <w:i w:val="false"/>
          <w:color w:val="000000"/>
          <w:sz w:val="21"/>
        </w:rPr>
        <w:t xml:space="preserve"> (Notice ARC 8452B, IAB 1/13/10)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4166C</w:t>
      </w:r>
      <w:r>
        <w:rPr>
          <w:rFonts w:ascii="Times New Roman" w:hAnsi="Times New Roman"/>
          <w:b w:val="false"/>
          <w:i w:val="false"/>
          <w:color w:val="000000"/>
          <w:sz w:val="21"/>
        </w:rPr>
        <w:t xml:space="preserve"> (Notice ARC 4033C, IAB 9/26/18)</w:t>
      </w:r>
      <w:r>
        <w:rPr>
          <w:rFonts w:ascii="Times New Roman" w:hAnsi="Times New Roman"/>
          <w:b w:val="false"/>
          <w:i w:val="false"/>
          <w:color w:val="000000"/>
          <w:sz w:val="21"/>
        </w:rPr>
        <w:t>, IAB 12/5/18, effective 2/1/19]</w:t>
      </w:r>
    </w:p>
    <w:p>
      <w:pPr>
        <w:spacing w:before="0" w:after="0"/>
        <w:ind w:left="120"/>
        <w:jc w:val="center"/>
      </w:pPr>
      <w:r>
        <w:rPr>
          <w:rFonts w:ascii="Times New Roman" w:hAnsi="Times New Roman"/>
          <w:b w:val="false"/>
          <w:i w:val="false"/>
          <w:color w:val="000000"/>
          <w:sz w:val="21"/>
        </w:rPr>
        <w:t>[Filed ARC 8415C</w:t>
      </w:r>
      <w:r>
        <w:rPr>
          <w:rFonts w:ascii="Times New Roman" w:hAnsi="Times New Roman"/>
          <w:b w:val="false"/>
          <w:i w:val="false"/>
          <w:color w:val="000000"/>
          <w:sz w:val="21"/>
        </w:rPr>
        <w:t xml:space="preserve"> (Amended Notice ARC 8183C, IAB 8/7/24; </w:t>
      </w:r>
      <w:r>
        <w:rPr>
          <w:rFonts w:ascii="Times New Roman" w:hAnsi="Times New Roman"/>
          <w:b w:val="false"/>
          <w:i w:val="false"/>
          <w:color w:val="000000"/>
          <w:sz w:val="21"/>
        </w:rPr>
        <w:t>Notice ARC 7363C, IAB 1/24/24)</w:t>
      </w:r>
      <w:r>
        <w:rPr>
          <w:rFonts w:ascii="Times New Roman" w:hAnsi="Times New Roman"/>
          <w:b w:val="false"/>
          <w:i w:val="false"/>
          <w:color w:val="000000"/>
          <w:sz w:val="21"/>
        </w:rPr>
        <w:t>, IAB 11/27/24, effective 1/1/25]</w:t>
      </w:r>
    </w:p>
    <w:p>
      <w:pPr>
        <w:spacing w:before="0" w:after="0"/>
        <w:ind w:left="120"/>
        <w:jc w:val="center"/>
      </w:pPr>
      <w:r>
        <w:rPr>
          <w:rFonts w:ascii="Times New Roman" w:hAnsi="Times New Roman"/>
          <w:b w:val="false"/>
          <w:i w:val="false"/>
          <w:color w:val="000000"/>
          <w:sz w:val="21"/>
        </w:rPr>
        <w:t>[Filed ARC 9860C</w:t>
      </w:r>
      <w:r>
        <w:rPr>
          <w:rFonts w:ascii="Times New Roman" w:hAnsi="Times New Roman"/>
          <w:b w:val="false"/>
          <w:i w:val="false"/>
          <w:color w:val="000000"/>
          <w:sz w:val="21"/>
        </w:rPr>
        <w:t xml:space="preserve"> (Notice ARC 9640C, IAB 10/29/25)</w:t>
      </w:r>
      <w:r>
        <w:rPr>
          <w:rFonts w:ascii="Times New Roman" w:hAnsi="Times New Roman"/>
          <w:b w:val="false"/>
          <w:i w:val="false"/>
          <w:color w:val="000000"/>
          <w:sz w:val="21"/>
        </w:rPr>
        <w:t>, IAB 12/24/25, effective 2/1/26]</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Effective date of amendments published as ARC 2900B delayed 70 days by the Administrative Rules Review Committee at its meeting held November 10, 2003; at its meeting held March 8, 2004, the Committee delayed the effective date until adjournment of the 2004 Session of the General Assembly.</w:t>
      </w:r>
    </w:p>
    <w:sectPr>
      <w:footerReference r:id="rId2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5.pdf" Type="http://schemas.openxmlformats.org/officeDocument/2006/relationships/hyperlink" Id="rId5"/>
    <Relationship TargetMode="External" Target="https://www.legis.iowa.gov/docs/iac/rule/441.77.1.pdf" Type="http://schemas.openxmlformats.org/officeDocument/2006/relationships/hyperlink" Id="rId6"/>
    <Relationship TargetMode="External" Target="https://www.legis.iowa.gov/docs/iac/chapter/441.2506.pdf" Type="http://schemas.openxmlformats.org/officeDocument/2006/relationships/hyperlink" Id="rId7"/>
    <Relationship TargetMode="External" Target="https://www.legis.iowa.gov/docs/iac/rule/441.201.3.pdf" Type="http://schemas.openxmlformats.org/officeDocument/2006/relationships/hyperlink" Id="rId8"/>
    <Relationship TargetMode="External" Target="https://www.legis.iowa.gov/docs/iac/rule/441.156.6.pdf" Type="http://schemas.openxmlformats.org/officeDocument/2006/relationships/hyperlink" Id="rId9"/>
    <Relationship TargetMode="External" Target="https://www.legis.iowa.gov/docs/iac/rule/441.156.6.pdf" Type="http://schemas.openxmlformats.org/officeDocument/2006/relationships/hyperlink" Id="rId10"/>
    <Relationship TargetMode="External" Target="https://www.legis.iowa.gov/docs/iac/rule/441.156.6.pdf" Type="http://schemas.openxmlformats.org/officeDocument/2006/relationships/hyperlink" Id="rId11"/>
    <Relationship TargetMode="External" Target="https://www.legis.iowa.gov/docs/iac/chapter/441.156.pdf" Type="http://schemas.openxmlformats.org/officeDocument/2006/relationships/hyperlink" Id="rId12"/>
    <Relationship TargetMode="External" Target="https://www.legis.iowa.gov/docs/iac/rule/441.79.1.pdf" Type="http://schemas.openxmlformats.org/officeDocument/2006/relationships/hyperlink" Id="rId13"/>
    <Relationship TargetMode="External" Target="https://www.legis.iowa.gov/docs/iac/chapter/441.75.pdf" Type="http://schemas.openxmlformats.org/officeDocument/2006/relationships/hyperlink" Id="rId14"/>
    <Relationship TargetMode="External" Target="https://www.legis.iowa.gov/docs/iac/rule/441.201.1.pdf" Type="http://schemas.openxmlformats.org/officeDocument/2006/relationships/hyperlink" Id="rId15"/>
    <Relationship TargetMode="External" Target="https://www.legis.iowa.gov/docs/iac/rule/441.201.8.pdf" Type="http://schemas.openxmlformats.org/officeDocument/2006/relationships/hyperlink" Id="rId16"/>
    <Relationship TargetMode="External" Target="https://www.legis.iowa.gov/docs/iac/rule/441.201.8.pdf" Type="http://schemas.openxmlformats.org/officeDocument/2006/relationships/hyperlink" Id="rId17"/>
    <Relationship TargetMode="External" Target="https://www.legis.iowa.gov/docs/iac/rule/441.201.8.pdf" Type="http://schemas.openxmlformats.org/officeDocument/2006/relationships/hyperlink" Id="rId18"/>
    <Relationship TargetMode="External" Target="https://www.legis.iowa.gov/docs/iac/chapter/441.75.pdf" Type="http://schemas.openxmlformats.org/officeDocument/2006/relationships/hyperlink" Id="rId19"/>
    <Relationship TargetMode="External" Target="https://www.legis.iowa.gov/docs/ico/chapter/600.17-23.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