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XVI</w:t>
      </w:r>
    </w:p>
    <w:p>
      <w:pPr>
        <w:pBdr>
          <w:bottom w:space="3"/>
        </w:pBdr>
        <w:spacing w:before="0" w:after="0"/>
        <w:ind w:left="120"/>
        <w:jc w:val="center"/>
      </w:pPr>
      <w:r>
        <w:rPr>
          <w:rFonts w:ascii="Times New Roman" w:hAnsi="Times New Roman"/>
          <w:b w:val="false"/>
          <w:i/>
          <w:color w:val="000000"/>
          <w:sz w:val="16"/>
        </w:rPr>
        <w:t>ALTERNATIVE LIVING</w:t>
      </w:r>
    </w:p>
    <w:p>
      <w:pPr>
        <w:spacing w:before="0" w:after="0"/>
        <w:ind w:left="120"/>
        <w:jc w:val="center"/>
      </w:pPr>
      <w:r>
        <w:rPr>
          <w:rFonts w:ascii="Times New Roman" w:hAnsi="Times New Roman"/>
          <w:b w:val="false"/>
          <w:i w:val="false"/>
          <w:color w:val="000000"/>
          <w:sz w:val="16"/>
        </w:rPr>
        <w:t>TITLE XVI</w:t>
      </w:r>
    </w:p>
    <w:p>
      <w:pPr>
        <w:pBdr>
          <w:bottom w:space="3"/>
        </w:pBdr>
        <w:spacing w:before="0" w:after="0"/>
        <w:ind w:left="120"/>
        <w:jc w:val="center"/>
      </w:pPr>
      <w:r>
        <w:rPr>
          <w:rFonts w:ascii="Times New Roman" w:hAnsi="Times New Roman"/>
          <w:b w:val="false"/>
          <w:i/>
          <w:color w:val="000000"/>
          <w:sz w:val="16"/>
        </w:rPr>
        <w:t>ALTERNATIVE LIVING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w:t>
      </w:r>
    </w:p>
    <w:p>
      <w:pPr>
        <w:spacing w:before="0" w:after="0"/>
        <w:ind w:left="120"/>
        <w:jc w:val="center"/>
      </w:pPr>
      <w:r>
        <w:rPr>
          <w:rFonts w:ascii="Times New Roman" w:hAnsi="Times New Roman"/>
          <w:b w:val="false"/>
          <w:i w:val="false"/>
          <w:color w:val="000000"/>
          <w:sz w:val="21"/>
        </w:rPr>
        <w:t>ADOPTION SERVICES</w:t>
      </w:r>
    </w:p>
    <w:p>
      <w:pPr>
        <w:spacing w:before="0" w:after="0"/>
        <w:ind w:left="120"/>
        <w:jc w:val="center"/>
      </w:pPr>
      <w:r>
        <w:rPr>
          <w:rFonts w:ascii="Times New Roman" w:hAnsi="Times New Roman"/>
          <w:b w:val="false"/>
          <w:i w:val="false"/>
          <w:color w:val="000000"/>
          <w:sz w:val="14"/>
        </w:rPr>
        <w:t>[Prior to 7/1/83, Social Services[770] Ch 139]</w:t>
      </w:r>
    </w:p>
    <w:p>
      <w:pPr>
        <w:spacing w:before="0" w:after="0"/>
        <w:ind w:left="120"/>
        <w:jc w:val="center"/>
      </w:pPr>
      <w:r>
        <w:rPr>
          <w:rFonts w:ascii="Times New Roman" w:hAnsi="Times New Roman"/>
          <w:b w:val="false"/>
          <w:i w:val="false"/>
          <w:color w:val="000000"/>
          <w:sz w:val="14"/>
        </w:rPr>
        <w:t>[Previously appeared as Ch 139—renumbered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441—200.1</w:t>
      </w:r>
      <w:r>
        <w:rPr>
          <w:rFonts w:ascii="Times New Roman" w:hAnsi="Times New Roman"/>
          <w:b/>
          <w:i w:val="false"/>
          <w:color w:val="000000"/>
          <w:sz w:val="22"/>
        </w:rPr>
        <w:t xml:space="preserve">(600)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means a legal and social process through which a child becomes a member of a family into which the child was not born. Adoption provides the child the same rights, privileges and duties as a birth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“Adoption selection” </w:t>
      </w:r>
      <w:r>
        <w:rPr>
          <w:rFonts w:ascii="Times New Roman" w:hAnsi="Times New Roman"/>
          <w:b w:val="false"/>
          <w:i w:val="false"/>
          <w:color w:val="000000"/>
          <w:sz w:val="22"/>
        </w:rPr>
        <w:t>means the process of making adoption placement decisions. The adoption selection committee team, tasked with making the final adoption placement decision, is made up of department of health and human service professionals. These professionals are brought together to review the child(ren)’s needs and the family’s abilities to meet those needs, to make the best adoption match available and to ensure compliance with applicable adoption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“Adoption selection committee team” </w:t>
      </w:r>
      <w:r>
        <w:rPr>
          <w:rFonts w:ascii="Times New Roman" w:hAnsi="Times New Roman"/>
          <w:b w:val="false"/>
          <w:i w:val="false"/>
          <w:color w:val="000000"/>
          <w:sz w:val="22"/>
        </w:rPr>
        <w:t>means department staff members designated to assist in the adoption selection process. The adoption selection committee team consists of the adoption supervisor and a minimum of two adoption workers. The social work administrator (SWA) may elect to be part of the team if there is more than one family seeking to adopt the child, and the SWA may select additional department staff to serve as members of the team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“Adoption service” </w:t>
      </w:r>
      <w:r>
        <w:rPr>
          <w:rFonts w:ascii="Times New Roman" w:hAnsi="Times New Roman"/>
          <w:b w:val="false"/>
          <w:i w:val="false"/>
          <w:color w:val="000000"/>
          <w:sz w:val="22"/>
        </w:rPr>
        <w:t>means a service directed toward children who are legally available for adoption, the birth family, prospective adoptive family, and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“Adoptive family” </w:t>
      </w:r>
      <w:r>
        <w:rPr>
          <w:rFonts w:ascii="Times New Roman" w:hAnsi="Times New Roman"/>
          <w:b w:val="false"/>
          <w:i w:val="false"/>
          <w:color w:val="000000"/>
          <w:sz w:val="22"/>
        </w:rPr>
        <w:t>means an approved person or persons who have a child placed in their home and are being supervised prior to finalizing the adoption; or who have a child in their home who is legally adopted and entitled to the same benefits as a child born into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“Adoptive home study” </w:t>
      </w:r>
      <w:r>
        <w:rPr>
          <w:rFonts w:ascii="Times New Roman" w:hAnsi="Times New Roman"/>
          <w:b w:val="false"/>
          <w:i w:val="false"/>
          <w:color w:val="000000"/>
          <w:sz w:val="22"/>
        </w:rPr>
        <w:t>includes an assessment of the family’s parental attributes and a written report stating approval or nonapproval of the family for adoptive placement of a child 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study” </w:t>
      </w:r>
      <w:r>
        <w:rPr>
          <w:rFonts w:ascii="Times New Roman" w:hAnsi="Times New Roman"/>
          <w:b w:val="false"/>
          <w:i w:val="false"/>
          <w:color w:val="000000"/>
          <w:sz w:val="22"/>
        </w:rPr>
        <w:t>includes a written description of the child, including strengths and needs; medical, mental, social, educational, placement and court history; a description of the child’s relationships with the birth family, foster family, and significant others; a summary of the child’s understanding and feeling about adoption; and recommendations as to the type of family that can best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with special needs” </w:t>
      </w:r>
      <w:r>
        <w:rPr>
          <w:rFonts w:ascii="Times New Roman" w:hAnsi="Times New Roman"/>
          <w:b w:val="false"/>
          <w:i w:val="false"/>
          <w:color w:val="000000"/>
          <w:sz w:val="22"/>
        </w:rPr>
        <w:t xml:space="preserve">means a child who meets one or more of the criteria set forth in </w:t>
      </w:r>
      <w:hyperlink r:id="rId5">
        <w:r>
          <w:rPr>
            <w:rStyle w:val="Hyperlink"/>
            <w:rFonts w:ascii="Times New Roman" w:hAnsi="Times New Roman"/>
            <w:b w:val="false"/>
            <w:i w:val="false"/>
            <w:color w:val="000000"/>
            <w:sz w:val="22"/>
          </w:rPr>
          <w:t>441—subrule 201.3(1)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“Court-ordered studies” </w:t>
      </w:r>
      <w:r>
        <w:rPr>
          <w:rFonts w:ascii="Times New Roman" w:hAnsi="Times New Roman"/>
          <w:b w:val="false"/>
          <w:i w:val="false"/>
          <w:color w:val="000000"/>
          <w:sz w:val="22"/>
        </w:rPr>
        <w:t>means home studies ordered by a judge for the purpose of determining custody of a child or placement of a child for the purpose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health and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“Family-centered services” </w:t>
      </w:r>
      <w:r>
        <w:rPr>
          <w:rFonts w:ascii="Times New Roman" w:hAnsi="Times New Roman"/>
          <w:b w:val="false"/>
          <w:i w:val="false"/>
          <w:color w:val="000000"/>
          <w:sz w:val="22"/>
        </w:rPr>
        <w:t>means services and other support intended to safely maintain a child with the child’s family or with an adult relative; to safely and in a timely manner return a child to the home of the child’s parent or relative; or to promote achievement of concurrent planning goals by identifying and helping the child secure placement for adoption, with a guardian, or with other alternative permanent family connections. Family-centered services include services adapted to the individual needs of a family regarding the specific services and other support provided to the child’s family and the intensity and duration of service delivery and services intended to preserve a child’s connections to the child’s neighborhood, community, and family and to improve the overall capacity of the child’s family to provide for the needs of the children in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family adoption” </w:t>
      </w:r>
      <w:r>
        <w:rPr>
          <w:rFonts w:ascii="Times New Roman" w:hAnsi="Times New Roman"/>
          <w:b w:val="false"/>
          <w:i w:val="false"/>
          <w:color w:val="000000"/>
          <w:sz w:val="22"/>
        </w:rPr>
        <w:t>means the adoption of a child by a licensed foster family that has cared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“Guardianship record” </w:t>
      </w:r>
      <w:r>
        <w:rPr>
          <w:rFonts w:ascii="Times New Roman" w:hAnsi="Times New Roman"/>
          <w:b w:val="false"/>
          <w:i w:val="false"/>
          <w:color w:val="000000"/>
          <w:sz w:val="22"/>
        </w:rPr>
        <w:t>means a case record regarding a child, established and retained by the department, when the department is named guardian of the child by court order. The purpose of the guardianship record is to collect and maintain information about the child and the birth family, legal documents, and other information that will assist in fulfilling the responsibility of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book” </w:t>
      </w:r>
      <w:r>
        <w:rPr>
          <w:rFonts w:ascii="Times New Roman" w:hAnsi="Times New Roman"/>
          <w:b w:val="false"/>
          <w:i w:val="false"/>
          <w:color w:val="000000"/>
          <w:sz w:val="22"/>
        </w:rPr>
        <w:t>means a compilation of information about the child, including birth information, photographs of the child; placement history, including dates of placement, names of caretakers, and reasons for leaving the placement; relationships; school reports; social, medical, mental health developmental history; and awards received, important events, letters from significant persons, and other information that the child wishes to include. The life book will assist the child in dealing with separation and loss issues and provide background and genealogy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“Placement services” </w:t>
      </w:r>
      <w:r>
        <w:rPr>
          <w:rFonts w:ascii="Times New Roman" w:hAnsi="Times New Roman"/>
          <w:b w:val="false"/>
          <w:i w:val="false"/>
          <w:color w:val="000000"/>
          <w:sz w:val="22"/>
        </w:rPr>
        <w:t>includes the activities and travel necessary to plan and carry out the placement of a child or children into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“Postadoption services” </w:t>
      </w:r>
      <w:r>
        <w:rPr>
          <w:rFonts w:ascii="Times New Roman" w:hAnsi="Times New Roman"/>
          <w:b w:val="false"/>
          <w:i w:val="false"/>
          <w:color w:val="000000"/>
          <w:sz w:val="22"/>
        </w:rPr>
        <w:t>includes those services that an adoptive family may access after the adoption is finalized to assist the family in coping with and resolving problems within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“Postplacement services” </w:t>
      </w:r>
      <w:r>
        <w:rPr>
          <w:rFonts w:ascii="Times New Roman" w:hAnsi="Times New Roman"/>
          <w:b w:val="false"/>
          <w:i w:val="false"/>
          <w:color w:val="000000"/>
          <w:sz w:val="22"/>
        </w:rPr>
        <w:t>includes the supervision, support and intervention necessary prior to finalization to assist in maintaining the adoptive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“Preadoptive family” </w:t>
      </w:r>
      <w:r>
        <w:rPr>
          <w:rFonts w:ascii="Times New Roman" w:hAnsi="Times New Roman"/>
          <w:b w:val="false"/>
          <w:i w:val="false"/>
          <w:color w:val="000000"/>
          <w:sz w:val="22"/>
        </w:rPr>
        <w:t>means an approved adoptive family with a child placed in the home for adoption whose adoption has not been finalized.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of child” </w:t>
      </w:r>
      <w:r>
        <w:rPr>
          <w:rFonts w:ascii="Times New Roman" w:hAnsi="Times New Roman"/>
          <w:b w:val="false"/>
          <w:i w:val="false"/>
          <w:color w:val="000000"/>
          <w:sz w:val="22"/>
        </w:rPr>
        <w:t>includes activities necessary to ready the child for placement into an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of family” </w:t>
      </w:r>
      <w:r>
        <w:rPr>
          <w:rFonts w:ascii="Times New Roman" w:hAnsi="Times New Roman"/>
          <w:b w:val="false"/>
          <w:i w:val="false"/>
          <w:color w:val="000000"/>
          <w:sz w:val="22"/>
        </w:rPr>
        <w:t>includes the activities necessary to assist the family in adding an adoptive child as a new member of their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means contacts, activities, and visits between the child and adoptive family prior to the adoptive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“Procedendo” </w:t>
      </w:r>
      <w:r>
        <w:rPr>
          <w:rFonts w:ascii="Times New Roman" w:hAnsi="Times New Roman"/>
          <w:b w:val="false"/>
          <w:i w:val="false"/>
          <w:color w:val="000000"/>
          <w:sz w:val="22"/>
        </w:rPr>
        <w:t>means an order issued by the Iowa Supreme Court returning jurisdiction to the district court after a final appellate decision regarding an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“Recruitment and retention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the entity that contracts with the department statewide to recruit foster and adoptive parents, complete home studies, and perform activities to support and encourage retention of foster and adoptive parents, or any of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“Relative” </w:t>
      </w:r>
      <w:r>
        <w:rPr>
          <w:rFonts w:ascii="Times New Roman" w:hAnsi="Times New Roman"/>
          <w:b w:val="false"/>
          <w:i w:val="false"/>
          <w:color w:val="000000"/>
          <w:sz w:val="22"/>
        </w:rPr>
        <w:t>means an individual related to a child within the fourth degree of consanguinity or affinity, by marriage, or through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“Selection of family” </w:t>
      </w:r>
      <w:r>
        <w:rPr>
          <w:rFonts w:ascii="Times New Roman" w:hAnsi="Times New Roman"/>
          <w:b w:val="false"/>
          <w:i w:val="false"/>
          <w:color w:val="000000"/>
          <w:sz w:val="22"/>
        </w:rPr>
        <w:t>means reviewing approved home studies to match a family’s strengths with a specific child’s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441—200.2</w:t>
      </w:r>
      <w:r>
        <w:rPr>
          <w:rFonts w:ascii="Times New Roman" w:hAnsi="Times New Roman"/>
          <w:b/>
          <w:i w:val="false"/>
          <w:color w:val="000000"/>
          <w:sz w:val="22"/>
        </w:rPr>
        <w:t xml:space="preserve">(600) </w:t>
      </w:r>
      <w:r>
        <w:rPr>
          <w:rFonts w:ascii="Times New Roman" w:hAnsi="Times New Roman"/>
          <w:b/>
          <w:i w:val="false"/>
          <w:color w:val="000000"/>
          <w:sz w:val="22"/>
        </w:rPr>
        <w:t xml:space="preserve">Application. </w:t>
      </w:r>
      <w:r>
        <w:rPr>
          <w:rFonts w:ascii="Times New Roman" w:hAnsi="Times New Roman"/>
          <w:b w:val="false"/>
          <w:i w:val="false"/>
          <w:color w:val="000000"/>
          <w:sz w:val="22"/>
        </w:rPr>
        <w:t>Persons wishing to apply to adopt a child through the department shall complete an Application for Adoption form. An application for adoption shall only be accepted for children who are under the guardianship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200.2(1)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department and its contractor shall accept only applications for adoption of a special needs child. The department shall refer adoption applications for children without special needs to private child-placing agencies. Exceptions to this rule may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Relatives of a child under the guardianship of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Foster parents with whom the child has a significant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200.2(2)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Before a home study is completed, applicants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Application for Adoption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Physician’s Report for Foster and Adoptive Parents form is completed by the applicant’s family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441—200.3</w:t>
      </w:r>
      <w:r>
        <w:rPr>
          <w:rFonts w:ascii="Times New Roman" w:hAnsi="Times New Roman"/>
          <w:b/>
          <w:i w:val="false"/>
          <w:color w:val="000000"/>
          <w:sz w:val="22"/>
        </w:rPr>
        <w:t xml:space="preserve">(600) </w:t>
      </w:r>
      <w:r>
        <w:rPr>
          <w:rFonts w:ascii="Times New Roman" w:hAnsi="Times New Roman"/>
          <w:b/>
          <w:i w:val="false"/>
          <w:color w:val="000000"/>
          <w:sz w:val="22"/>
        </w:rPr>
        <w:t xml:space="preserve">Adoption services. </w:t>
      </w:r>
      <w:r>
        <w:rPr>
          <w:rFonts w:ascii="Times New Roman" w:hAnsi="Times New Roman"/>
          <w:b w:val="false"/>
          <w:i w:val="false"/>
          <w:color w:val="000000"/>
          <w:sz w:val="22"/>
        </w:rPr>
        <w:t>Adoption services shall include: adoptive home study, preparation of child, selection of family, preparation of family, preplacement visits, placement services, and postplacement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w:t>
      </w:r>
      <w:r>
        <w:rPr>
          <w:rFonts w:ascii="Times New Roman" w:hAnsi="Times New Roman"/>
          <w:b w:val="false"/>
          <w:i w:val="false"/>
          <w:color w:val="000000"/>
          <w:sz w:val="22"/>
        </w:rPr>
        <w:t> </w:t>
      </w:r>
      <w:r>
        <w:rPr>
          <w:rFonts w:ascii="Times New Roman" w:hAnsi="Times New Roman"/>
          <w:b w:val="false"/>
          <w:i/>
          <w:color w:val="000000"/>
          <w:sz w:val="22"/>
        </w:rPr>
        <w:t xml:space="preserve">Adoptive home study. </w:t>
      </w:r>
      <w:r>
        <w:rPr>
          <w:rFonts w:ascii="Times New Roman" w:hAnsi="Times New Roman"/>
          <w:b w:val="false"/>
          <w:i w:val="false"/>
          <w:color w:val="000000"/>
          <w:sz w:val="22"/>
        </w:rPr>
        <w:t>For applicants who apply to the department to adopt, the contractor shall prepare an adoptive home study through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Family assessment. </w:t>
      </w:r>
      <w:r>
        <w:rPr>
          <w:rFonts w:ascii="Times New Roman" w:hAnsi="Times New Roman"/>
          <w:b w:val="false"/>
          <w:i w:val="false"/>
          <w:color w:val="000000"/>
          <w:sz w:val="22"/>
        </w:rPr>
        <w:t>The family assessment shall include a minimum of two face-to-face interviews with the applicants and at least one face-to-face interview with each member of the household. At least one of the interviews shall take place at the applicant’s home. The assessment of the prospective adoptive family shall include an evaluation of the family’s ability to parent a special needs child or children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Motivation for adoption and whether the family has biological children, adopted children or children in foster care currently placed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Family’s and extended family’s attitude toward accepting an adopted child and plans for discussing adoption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attitude toward adoption of other people involved with the family in a significant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maturity; marital history, including verification of marriages and divorces; assessment of marital relationship; and compatibility of the adoptive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Ability to cope with problems, stress, frustrations, crises, separation, and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Medical, mental, and emotional conditions that may affect the applicant’s ability to parent a child; treatment history; status of treatment; and the evaluation of the treatment. Applicants and all household members must disclose any past or current mental health or substance abuse issues, or both. The department may require further documentation, evaluation, or both, to determine the suitability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Willingness to accept a child who has medical problems (such as a child who is at risk for a communicable disease), intellectual disabilities, or emotional or behavioral problems. Ability to provide for the child’s physical, medical, and emotional needs and commit to support a child’s overall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biological children and previously adopted children, if any, including their attitudes toward adoption, relationship with others, and school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Capacity to give and receive affection.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Statements from three references provided by the family and additional references the contractor may wish to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Attitudes of the adoptive applicants toward the birth parents and the reasons the child is available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information, including the family’s ability to provide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Disciplinary practices that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History of abuse involving family members, including how the abuse was addressed and how that history impacts the applicant’s ability to be an adoptive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Assessment of, commitment to, and capacity to maintain other significant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Recommendations for the number, age, sex, characteristics, and special needs of a child or children the family can best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The family’s ability to anticipate and understand the special needs of an adopted child as the child gets older and how the family will manage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Record checks are required for each applicant and for anyone who is 14 years of age or older living in the home of the applicant to determine whether any of those persons have founded child abuse reports, dependent adult abuse reports or criminal convictions or have been placed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records of the applicants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the Iowa central abuse registry using the Request for Child Abuse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Iowa division of criminal investigation, using the HHS Criminal History Record Check Form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the child abuse registry of any state where the applicant has lived during the five years prior to the issuance of the investigative report;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national criminal history through fingerprinting or another biometric identification-based process accepted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records of persons aged 14 or older living in the home of the applicant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the Iowa central abuse registry using the Request for Child Abuse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Iowa division of criminal investigation, using the HHS Criminal History Record Check Form 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Out-of-state child abuse checks, dependent adult abuse checks and national criminal history checks may be completed on any adult living in the home of the applicant if the department has reason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approve a prospective applicant and shall not perform an evaluation if the applicant or anyone living in the home of the applicant has been convicted of a felony offense as set forth in Iowa Code section </w:t>
      </w:r>
      <w:hyperlink r:id="rId6">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approve a prospective applicant and shall not perform an evaluation if the applicant or anyone living in the home of the applicant has committed a crime in a state other than Iowa that would be a forcible felony if the crime would have been committed in Iowa, as set forth in Iowa Code section </w:t>
      </w:r>
      <w:hyperlink r:id="rId7">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anyone living in the home has a record of founded child abuse, dependent adult abuse, a criminal conviction, or placement on the sex offender registry, the applicant shall not be approved to adopt unless an evaluation determines that the abuse or criminal conviction does not warrant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evaluation shall be conducted according to procedures in 441—subrules </w:t>
      </w:r>
      <w:hyperlink r:id="rId8">
        <w:r>
          <w:rPr>
            <w:rStyle w:val="Hyperlink"/>
            <w:rFonts w:ascii="Times New Roman" w:hAnsi="Times New Roman"/>
            <w:b w:val="false"/>
            <w:i w:val="false"/>
            <w:color w:val="000000"/>
            <w:sz w:val="22"/>
          </w:rPr>
          <w:t>113.13(2)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113.13(3)</w:t>
        </w:r>
      </w:hyperlink>
      <w:r>
        <w:rPr>
          <w:rFonts w:ascii="Times New Roman" w:hAnsi="Times New Roman"/>
          <w:b w:val="false"/>
          <w:i w:val="false"/>
          <w:color w:val="000000"/>
          <w:sz w:val="22"/>
        </w:rPr>
        <w:t xml:space="preserve"> for applications for adoption through the department or procedures in </w:t>
      </w:r>
      <w:hyperlink r:id="rId10">
        <w:r>
          <w:rPr>
            <w:rStyle w:val="Hyperlink"/>
            <w:rFonts w:ascii="Times New Roman" w:hAnsi="Times New Roman"/>
            <w:b w:val="false"/>
            <w:i w:val="false"/>
            <w:color w:val="000000"/>
            <w:sz w:val="22"/>
          </w:rPr>
          <w:t>441—paragraph 108.9(4)</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applications for adoption through a child-placing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 xml:space="preserve">The contractor shall prepare a written report of the family assessment, known as the adoptive home study, which shall be used to make recommendations on appropriate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family of the decision using the Adoption Notice of Decision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does not approve the home study, the reasons shall be stated on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the family a copy of the adoptive home study with the notification of approval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Preplacement assessment and home study update. </w:t>
      </w:r>
      <w:r>
        <w:rPr>
          <w:rFonts w:ascii="Times New Roman" w:hAnsi="Times New Roman"/>
          <w:b w:val="false"/>
          <w:i w:val="false"/>
          <w:color w:val="000000"/>
          <w:sz w:val="22"/>
        </w:rPr>
        <w:t xml:space="preserve">A preplacement assessment and home study update is required if the adoptive home study was written more than two years previously, in accordance with Iowa Code section </w:t>
      </w:r>
      <w:hyperlink r:id="rId11">
        <w:r>
          <w:rPr>
            <w:rStyle w:val="Hyperlink"/>
            <w:rFonts w:ascii="Times New Roman" w:hAnsi="Times New Roman"/>
            <w:b w:val="false"/>
            <w:i w:val="false"/>
            <w:color w:val="000000"/>
            <w:sz w:val="22"/>
          </w:rPr>
          <w:t>600.8</w:t>
        </w:r>
      </w:hyperlink>
      <w:r>
        <w:rPr>
          <w:rFonts w:ascii="Times New Roman" w:hAnsi="Times New Roman"/>
          <w:b w:val="false"/>
          <w:i w:val="false"/>
          <w:color w:val="000000"/>
          <w:sz w:val="22"/>
        </w:rPr>
        <w:t>. The preplacement assessment and home study update shall be conducted by completion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dependent adult abuse and criminal record checks shall be repeated, except for fingerprinting. If there are any founded abuses or convictions of crimes that were not evaluated in the previous home study, they shall be evaluated using the process set forth in paragraph </w:t>
      </w:r>
      <w:hyperlink r:id="rId12">
        <w:r>
          <w:rPr>
            <w:rStyle w:val="Hyperlink"/>
            <w:rFonts w:ascii="Times New Roman" w:hAnsi="Times New Roman"/>
            <w:b w:val="false"/>
            <w:i w:val="false"/>
            <w:color w:val="000000"/>
            <w:sz w:val="22"/>
          </w:rPr>
          <w:t>200.4(1)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face-to-face visit shall be conducted with the approved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information in the approved adoptive home study shall be reassessed.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updated written report of the reassessment and adoptive home study shall be written, dated, signed by the worker and supervisor for the contractor, and a copy provided to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Families that are dually licensed to provide foster family care shall have their adoption approval date align with their foster home licensing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Procedure for foster parent adoptions. </w:t>
      </w:r>
      <w:r>
        <w:rPr>
          <w:rFonts w:ascii="Times New Roman" w:hAnsi="Times New Roman"/>
          <w:b w:val="false"/>
          <w:i w:val="false"/>
          <w:color w:val="000000"/>
          <w:sz w:val="22"/>
        </w:rPr>
        <w:t xml:space="preserve">When a licensed foster parent applies for approval as an adoptive home, home study activities that have been completed within the previous year as part of a licensing study pursuant to </w:t>
      </w:r>
      <w:hyperlink r:id="rId13">
        <w:r>
          <w:rPr>
            <w:rStyle w:val="Hyperlink"/>
            <w:rFonts w:ascii="Times New Roman" w:hAnsi="Times New Roman"/>
            <w:b w:val="false"/>
            <w:i w:val="false"/>
            <w:color w:val="000000"/>
            <w:sz w:val="22"/>
          </w:rPr>
          <w:t>441—Chapter 113</w:t>
        </w:r>
      </w:hyperlink>
      <w:r>
        <w:rPr>
          <w:rFonts w:ascii="Times New Roman" w:hAnsi="Times New Roman"/>
          <w:b w:val="false"/>
          <w:i w:val="false"/>
          <w:color w:val="000000"/>
          <w:sz w:val="22"/>
        </w:rPr>
        <w:t xml:space="preserve"> need not be repeated.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Annual visits to the adoptive family home. </w:t>
      </w:r>
      <w:r>
        <w:rPr>
          <w:rFonts w:ascii="Times New Roman" w:hAnsi="Times New Roman"/>
          <w:b w:val="false"/>
          <w:i w:val="false"/>
          <w:color w:val="000000"/>
          <w:sz w:val="22"/>
        </w:rPr>
        <w:t>The contractor shall complete a minimum of one visit each year in the homes of families approved to adopt.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 shall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person aged 14 or older moves into the home, the agency shall perform checks on the Iowa central abuse registry, by the division of criminal investigation, and on the sex offender registry. The record check evaluation process shall be completed if the person has a criminal conviction or founded abuse report or is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Findings and observations of the visit shall be documented and provided to the department when the update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within 30 days of any deficiencies noted or other concerns discovered that require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w:t>
      </w:r>
      <w:r>
        <w:rPr>
          <w:rFonts w:ascii="Times New Roman" w:hAnsi="Times New Roman"/>
          <w:b w:val="false"/>
          <w:i w:val="false"/>
          <w:color w:val="000000"/>
          <w:sz w:val="22"/>
        </w:rPr>
        <w:t> </w:t>
      </w:r>
      <w:r>
        <w:rPr>
          <w:rFonts w:ascii="Times New Roman" w:hAnsi="Times New Roman"/>
          <w:b w:val="false"/>
          <w:i/>
          <w:color w:val="000000"/>
          <w:sz w:val="22"/>
        </w:rPr>
        <w:t xml:space="preserve">Preparation of child. </w:t>
      </w:r>
      <w:r>
        <w:rPr>
          <w:rFonts w:ascii="Times New Roman" w:hAnsi="Times New Roman"/>
          <w:b w:val="false"/>
          <w:i w:val="false"/>
          <w:color w:val="000000"/>
          <w:sz w:val="22"/>
        </w:rPr>
        <w:t>The department shall conduct specific activities designed to enable a child to make the transition to an adoptive placement or refer the child to the family-centered services contractor or other professionals. The activities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Counseling regarding issues of separation, loss, grief, guilt, anger and adjustment to an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in the preparation or update of a life 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 of age-appropriate information regarding community resources available, such as children’s support groups, to assist the child in the transition and integration into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appropriate evaluations 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w:t>
      </w:r>
      <w:r>
        <w:rPr>
          <w:rFonts w:ascii="Times New Roman" w:hAnsi="Times New Roman"/>
          <w:b w:val="false"/>
          <w:i w:val="false"/>
          <w:color w:val="000000"/>
          <w:sz w:val="22"/>
        </w:rPr>
        <w:t> </w:t>
      </w:r>
      <w:r>
        <w:rPr>
          <w:rFonts w:ascii="Times New Roman" w:hAnsi="Times New Roman"/>
          <w:b w:val="false"/>
          <w:i/>
          <w:color w:val="000000"/>
          <w:sz w:val="22"/>
        </w:rPr>
        <w:t xml:space="preserve">Adoption selection process. </w:t>
      </w:r>
      <w:r>
        <w:rPr>
          <w:rFonts w:ascii="Times New Roman" w:hAnsi="Times New Roman"/>
          <w:b w:val="false"/>
          <w:i w:val="false"/>
          <w:color w:val="000000"/>
          <w:sz w:val="22"/>
        </w:rPr>
        <w:t xml:space="preserve">When the department is appointed guardian of a child(ren) following the termination of parental rights, the department has both the duty and the authority to select an adoptive placement for that child(ren). To fulfill this duty, the department must hold a conference during which the department selects an adoptive family for an identified child(ren). At the conference, known as an adoption selection staffing, each interested family with an approved adoption or interstate compact home study will be considered. The adoption selection committee will determine which family will be able to best meet the needs of the child(ren) going forward. The adoption selection process will value the best interest of the child(ren) above all else.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selection committee will consider placement priority as outlined in Iowa Code section </w:t>
      </w:r>
      <w:hyperlink r:id="rId14">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and will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adoptive family selected for a child or sibling group must be based on a thorough assessment of each child’s current and potential developmental, medical, emotional, and educational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child(ren)’s need for family connections will be prioritized. Separation of siblings should be avoided. When separation is necessary to protect the safety and well-being of one or more children in the sibling group, all reasonable efforts must be made to select a placement likely to maintain contact between siblings if such contact is in the best interests of each 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adoptive family selected will be able to nurture and accept the child(ren) as a fully integrated member(s) of the family.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Race, color, or national origin may not be considered in placement selections except when an Indian child is being placed pursuant to Iowa Code section </w:t>
      </w:r>
      <w:hyperlink r:id="rId15">
        <w:r>
          <w:rPr>
            <w:rStyle w:val="Hyperlink"/>
            <w:rFonts w:ascii="Times New Roman" w:hAnsi="Times New Roman"/>
            <w:b w:val="false"/>
            <w:i w:val="false"/>
            <w:color w:val="000000"/>
            <w:sz w:val="22"/>
          </w:rPr>
          <w:t>232.7</w:t>
        </w:r>
      </w:hyperlink>
      <w:r>
        <w:rPr>
          <w:rFonts w:ascii="Times New Roman" w:hAnsi="Times New Roman"/>
          <w:b w:val="false"/>
          <w:i w:val="false"/>
          <w:color w:val="000000"/>
          <w:sz w:val="22"/>
        </w:rPr>
        <w:t xml:space="preserve"> or chapter </w:t>
      </w:r>
      <w:hyperlink r:id="rId16">
        <w:r>
          <w:rPr>
            <w:rStyle w:val="Hyperlink"/>
            <w:rFonts w:ascii="Times New Roman" w:hAnsi="Times New Roman"/>
            <w:b w:val="false"/>
            <w:i w:val="false"/>
            <w:color w:val="000000"/>
            <w:sz w:val="22"/>
          </w:rPr>
          <w:t>232B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Placement decisions shall be made consistent with the best interests and special needs of the child, including the adoptive family’s capacity and commitment to holistically supporting the child’s development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relative who is within the fourth degree of consanguinity shall be given consideration for selection as the adoptive family for a child who is legally available for adoption if the child has a significant relationship with the relative or the child is aged 14 or older and elects adoption by the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Foster parents shall be given consideration for selection as the adoptive family for a child in the foster parents’ care who is legally available for adoption if the child has been in the foster parents’ care for six months or longer or the child has a significant relationship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adoption selection committee team should strive to complete the adoption selection process in 60 days or less absent special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reaching a decision, the adoption selection committee team staff will notify families of the decision made by the adoption selection committee team and will send placement notification to the family not selected within two business days of the date all parties were initially notified, using the Adoption Notice of Decision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selection of an adoptive family is not an appealable issue since a child continues to be under the guardianship of the department until an adoption is finalized.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w:t>
      </w:r>
      <w:r>
        <w:rPr>
          <w:rFonts w:ascii="Times New Roman" w:hAnsi="Times New Roman"/>
          <w:b w:val="false"/>
          <w:i w:val="false"/>
          <w:color w:val="000000"/>
          <w:sz w:val="22"/>
        </w:rPr>
        <w:t> </w:t>
      </w:r>
      <w:r>
        <w:rPr>
          <w:rFonts w:ascii="Times New Roman" w:hAnsi="Times New Roman"/>
          <w:b w:val="false"/>
          <w:i/>
          <w:color w:val="000000"/>
          <w:sz w:val="22"/>
        </w:rPr>
        <w:t xml:space="preserve">Preparation of family. </w:t>
      </w:r>
      <w:r>
        <w:rPr>
          <w:rFonts w:ascii="Times New Roman" w:hAnsi="Times New Roman"/>
          <w:b w:val="false"/>
          <w:i w:val="false"/>
          <w:color w:val="000000"/>
          <w:sz w:val="22"/>
        </w:rPr>
        <w:t>The contractor and the department shall conduct activities designed to enhance the family’s readiness to accept the child or children into the family and strengthen the family’s commitment to adopt. A referral may be made for family-centered services if needed. The activities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required preservice training and the self-study course, “Universal Precautions in Foster and Adoptive Family Homes,” before placement of a child. These training requirements apply to families who are adopting special needs children who are under the guardianship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Relatives who have cared for a related child for at least six months and who have been selected to adopt that related child may have their participation in the preservice training waived by the service area manager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preservice training requirement in whole or in part when the department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completed relevant training or has a combination of relevant training and experience that is an acceptable equivalent to all or a portion of the required preservice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good cause for the waiver based upon the circumstances of the child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Applicants must retake the preservice training if the adoption approval process is not completed within 24 months after the preservice training is initially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Discussion with family members regarding problems resulting from a child’s separation, loss, grief, and anger due to the loss of the birth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 of background information on the child and birth family, including a child study that includes experiences such as foster and adoption placements and other pertinent information and the child’s life 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 of information regarding the child’s special needs and behavior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 of a description of the child’s medical needs, including whether or not the child has a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Discussion of the impact that adding a new member or members to the family may have on all current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Explanation of the state’s subsidized adoption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Provision of information regarding the community resources that are available to assist the family, such as parent support groups, community supports including Medicaid funded supports and post adoption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The department shall plan, conduct and assess the transitional visits between the adoptive family and the child or children before the adoptive placement of the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w:t>
      </w:r>
      <w:r>
        <w:rPr>
          <w:rFonts w:ascii="Times New Roman" w:hAnsi="Times New Roman"/>
          <w:b w:val="false"/>
          <w:i w:val="false"/>
          <w:color w:val="000000"/>
          <w:sz w:val="22"/>
        </w:rPr>
        <w:t> </w:t>
      </w:r>
      <w:r>
        <w:rPr>
          <w:rFonts w:ascii="Times New Roman" w:hAnsi="Times New Roman"/>
          <w:b w:val="false"/>
          <w:i/>
          <w:color w:val="000000"/>
          <w:sz w:val="22"/>
        </w:rPr>
        <w:t xml:space="preserve">Placement services. </w:t>
      </w:r>
      <w:r>
        <w:rPr>
          <w:rFonts w:ascii="Times New Roman" w:hAnsi="Times New Roman"/>
          <w:b w:val="false"/>
          <w:i w:val="false"/>
          <w:color w:val="000000"/>
          <w:sz w:val="22"/>
        </w:rPr>
        <w:t>Placement services include the activities necessary to plan and carry out the placement of a child or children into the adoptive family.</w:t>
      </w:r>
    </w:p>
    <w:p>
      <w:pPr>
        <w:spacing w:before="0" w:after="0"/>
        <w:ind w:left="120"/>
        <w:jc w:val="both"/>
      </w:pPr>
      <w:r>
        <w:rPr>
          <w:rFonts w:ascii="Times New Roman" w:hAnsi="Times New Roman"/>
          <w:b w:val="false"/>
          <w:i w:val="false"/>
          <w:color w:val="000000"/>
          <w:sz w:val="22"/>
        </w:rPr>
        <w:t>Before placement of a child, the Agreement of Placement for Adoption form shall be signed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200.3(7)</w:t>
      </w:r>
      <w:r>
        <w:rPr>
          <w:rFonts w:ascii="Times New Roman" w:hAnsi="Times New Roman"/>
          <w:b w:val="false"/>
          <w:i w:val="false"/>
          <w:color w:val="000000"/>
          <w:sz w:val="22"/>
        </w:rPr>
        <w:t> </w:t>
      </w:r>
      <w:r>
        <w:rPr>
          <w:rFonts w:ascii="Times New Roman" w:hAnsi="Times New Roman"/>
          <w:b w:val="false"/>
          <w:i/>
          <w:color w:val="000000"/>
          <w:sz w:val="22"/>
        </w:rPr>
        <w:t xml:space="preserve">Postplacement services. </w:t>
      </w:r>
      <w:r>
        <w:rPr>
          <w:rFonts w:ascii="Times New Roman" w:hAnsi="Times New Roman"/>
          <w:b w:val="false"/>
          <w:i w:val="false"/>
          <w:color w:val="000000"/>
          <w:sz w:val="22"/>
        </w:rPr>
        <w:t>An adoptive family is eligible for postplacement services from the time a child is placed with the family until finalization of the adoption occurs. The department shall supervise the placement, provide ongoing support to the child and family, perform crisis intervention, and complete required reports. Assistance with behavioral interventions to strengthen the placement and prevent disruption may be provided through family-centered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Postplacement supervision shall focus on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Integration and interaction of the child or children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in the family functioning that may be due to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and emotional adjustment of the child 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Child’s growth and development since placement with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and adjustments that have been made in the family since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Family’s method of dealing with testing behaviors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Behavioral evidence of the degree of bonding that is taking place and the degree to which the child is becoming a permanent member of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School adjustment of a child who is attending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behavioral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psychological and mental health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and supports that will assist the child and family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a minimum, the department shall make monthly home visits until the adoption is final. If the family is experiencing problems, the department shall make as many visits as are necessary to assess and support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prepare a written report based on the postplacement visits with recommendations regarding the finalization of the adoption and submit the report to the court before the hearing to consider granting a decree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200.3(8)</w:t>
      </w:r>
      <w:r>
        <w:rPr>
          <w:rFonts w:ascii="Times New Roman" w:hAnsi="Times New Roman"/>
          <w:b w:val="false"/>
          <w:i w:val="false"/>
          <w:color w:val="000000"/>
          <w:sz w:val="22"/>
        </w:rPr>
        <w:t> </w:t>
      </w:r>
      <w:r>
        <w:rPr>
          <w:rFonts w:ascii="Times New Roman" w:hAnsi="Times New Roman"/>
          <w:b w:val="false"/>
          <w:i/>
          <w:color w:val="000000"/>
          <w:sz w:val="22"/>
        </w:rPr>
        <w:t xml:space="preserve">Postadoption services. </w:t>
      </w:r>
      <w:r>
        <w:rPr>
          <w:rFonts w:ascii="Times New Roman" w:hAnsi="Times New Roman"/>
          <w:b w:val="false"/>
          <w:i w:val="false"/>
          <w:color w:val="000000"/>
          <w:sz w:val="22"/>
        </w:rPr>
        <w:t>The department’s contractor shall provide postadoption services to families that are eligible for the department’s adoption subsidy program in accordance with the contract. The goal of these services is to prevent adoption dissolution. The family may obtain additional support through community resources or support groups.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441—200.4</w:t>
      </w:r>
      <w:r>
        <w:rPr>
          <w:rFonts w:ascii="Times New Roman" w:hAnsi="Times New Roman"/>
          <w:b/>
          <w:i w:val="false"/>
          <w:color w:val="000000"/>
          <w:sz w:val="22"/>
        </w:rPr>
        <w:t xml:space="preserve">(600) </w:t>
      </w:r>
      <w:r>
        <w:rPr>
          <w:rFonts w:ascii="Times New Roman" w:hAnsi="Times New Roman"/>
          <w:b/>
          <w:i w:val="false"/>
          <w:color w:val="000000"/>
          <w:sz w:val="22"/>
        </w:rPr>
        <w:t xml:space="preserve">Termination of parental rights. </w:t>
      </w:r>
      <w:r>
        <w:rPr>
          <w:rFonts w:ascii="Times New Roman" w:hAnsi="Times New Roman"/>
          <w:b w:val="false"/>
          <w:i w:val="false"/>
          <w:color w:val="000000"/>
          <w:sz w:val="22"/>
        </w:rPr>
        <w:t>The department shall not place a child in an approved adoptive home until parental rights of the child’s birth parents have been terminated and guardianship assigned to the department. This would not apply to families and children participating in tribal customary adoption. If one or both birth parents are deceased, the worker shall provide the court with verification of the birth parents’ death and the death shall be stated in the guardianship order. When the termination of parental rights is appealed by a birth parent, an adoptive placement may be made if the adoptive parents sign an adoptive placement agreement that includes an acknowledgment of the conditions of the placement should termination be overturned. However, the adoption may not be finalized until the appeal is withdrawn or a final decision regarding the appeal is reached and a procedendo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441—200.5</w:t>
      </w:r>
      <w:r>
        <w:rPr>
          <w:rFonts w:ascii="Times New Roman" w:hAnsi="Times New Roman"/>
          <w:b/>
          <w:i w:val="false"/>
          <w:color w:val="000000"/>
          <w:sz w:val="22"/>
        </w:rPr>
        <w:t xml:space="preserve">(600) </w:t>
      </w:r>
      <w:r>
        <w:rPr>
          <w:rFonts w:ascii="Times New Roman" w:hAnsi="Times New Roman"/>
          <w:b/>
          <w:i w:val="false"/>
          <w:color w:val="000000"/>
          <w:sz w:val="22"/>
        </w:rPr>
        <w:t xml:space="preserve">Interstate placements. </w:t>
      </w:r>
      <w:r>
        <w:rPr>
          <w:rFonts w:ascii="Times New Roman" w:hAnsi="Times New Roman"/>
          <w:b w:val="false"/>
          <w:i w:val="false"/>
          <w:color w:val="000000"/>
          <w:sz w:val="22"/>
        </w:rPr>
        <w:t xml:space="preserve">Interstate placement of a child into Iowa, or out of Iowa, shall follow interstate placement of child procedures in accordance with Iowa Code sections </w:t>
      </w:r>
      <w:hyperlink r:id="rId17">
        <w:r>
          <w:rPr>
            <w:rStyle w:val="Hyperlink"/>
            <w:rFonts w:ascii="Times New Roman" w:hAnsi="Times New Roman"/>
            <w:b w:val="false"/>
            <w:i w:val="false"/>
            <w:color w:val="000000"/>
            <w:sz w:val="22"/>
          </w:rPr>
          <w:t>232.158 through 232.166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441—200.6</w:t>
      </w:r>
      <w:r>
        <w:rPr>
          <w:rFonts w:ascii="Times New Roman" w:hAnsi="Times New Roman"/>
          <w:b/>
          <w:i w:val="false"/>
          <w:color w:val="000000"/>
          <w:sz w:val="22"/>
        </w:rPr>
        <w:t xml:space="preserve">(600) </w:t>
      </w:r>
      <w:r>
        <w:rPr>
          <w:rFonts w:ascii="Times New Roman" w:hAnsi="Times New Roman"/>
          <w:b/>
          <w:i w:val="false"/>
          <w:color w:val="000000"/>
          <w:sz w:val="22"/>
        </w:rPr>
        <w:t xml:space="preserve">Requests for home studies.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200.6(1)</w:t>
      </w:r>
      <w:r>
        <w:rPr>
          <w:rFonts w:ascii="Times New Roman" w:hAnsi="Times New Roman"/>
          <w:b w:val="false"/>
          <w:i w:val="false"/>
          <w:color w:val="000000"/>
          <w:sz w:val="22"/>
        </w:rPr>
        <w:t> </w:t>
      </w:r>
      <w:r>
        <w:rPr>
          <w:rFonts w:ascii="Times New Roman" w:hAnsi="Times New Roman"/>
          <w:b w:val="false"/>
          <w:i/>
          <w:color w:val="000000"/>
          <w:sz w:val="22"/>
        </w:rPr>
        <w:t xml:space="preserve">Court-ordered. </w:t>
      </w:r>
      <w:r>
        <w:rPr>
          <w:rFonts w:ascii="Times New Roman" w:hAnsi="Times New Roman"/>
          <w:b w:val="false"/>
          <w:i w:val="false"/>
          <w:color w:val="000000"/>
          <w:sz w:val="22"/>
        </w:rPr>
        <w:t>Court-ordered home studies for adoption of a child or children under the authority of the department shall be completed by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200.6(2)</w:t>
      </w:r>
      <w:r>
        <w:rPr>
          <w:rFonts w:ascii="Times New Roman" w:hAnsi="Times New Roman"/>
          <w:b w:val="false"/>
          <w:i w:val="false"/>
          <w:color w:val="000000"/>
          <w:sz w:val="22"/>
        </w:rPr>
        <w:t> </w:t>
      </w:r>
      <w:r>
        <w:rPr>
          <w:rFonts w:ascii="Times New Roman" w:hAnsi="Times New Roman"/>
          <w:b w:val="false"/>
          <w:i/>
          <w:color w:val="000000"/>
          <w:sz w:val="22"/>
        </w:rPr>
        <w:t xml:space="preserve">Interstate compact. </w:t>
      </w:r>
      <w:r>
        <w:rPr>
          <w:rFonts w:ascii="Times New Roman" w:hAnsi="Times New Roman"/>
          <w:b w:val="false"/>
          <w:i w:val="false"/>
          <w:color w:val="000000"/>
          <w:sz w:val="22"/>
        </w:rPr>
        <w:t>Requests for an adoptive home study through the interstate compact process shall be completed by the department’s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441—200.7</w:t>
      </w:r>
      <w:r>
        <w:rPr>
          <w:rFonts w:ascii="Times New Roman" w:hAnsi="Times New Roman"/>
          <w:b/>
          <w:i w:val="false"/>
          <w:color w:val="000000"/>
          <w:sz w:val="22"/>
        </w:rPr>
        <w:t xml:space="preserve">(600) </w:t>
      </w:r>
      <w:r>
        <w:rPr>
          <w:rFonts w:ascii="Times New Roman" w:hAnsi="Times New Roman"/>
          <w:b/>
          <w:i w:val="false"/>
          <w:color w:val="000000"/>
          <w:sz w:val="22"/>
        </w:rPr>
        <w:t xml:space="preserve">Reasons for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w:t>
      </w:r>
      <w:r>
        <w:rPr>
          <w:rFonts w:ascii="Times New Roman" w:hAnsi="Times New Roman"/>
          <w:b w:val="false"/>
          <w:i w:val="false"/>
          <w:color w:val="000000"/>
          <w:sz w:val="22"/>
        </w:rPr>
        <w:t> </w:t>
      </w:r>
      <w:r>
        <w:rPr>
          <w:rFonts w:ascii="Times New Roman" w:hAnsi="Times New Roman"/>
          <w:b w:val="false"/>
          <w:i w:val="false"/>
          <w:color w:val="000000"/>
          <w:sz w:val="22"/>
        </w:rPr>
        <w:t>An individual or family shall be denied approval of an adoptive home study for any of the following reasons unless an evaluation determines that denial is improper: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Founded child abuse report or dependent adult abuse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conviction.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Documented concerns. Concerns may be documented in one or more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Motivation to adopt.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Child-rearing ability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Emotional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or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Interpersonal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Marital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areas that may impact the applicant’s ability to meet the needs of a child both at present and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Substance abuse. Verified substance use or abuse that prevents the family from adequately caring for the child shall mean denial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Lack of cooperation. If the individual or family fails to cooperate in providing the information needed to complete the preplacement assessment or home study, the application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w:t>
      </w:r>
      <w:r>
        <w:rPr>
          <w:rFonts w:ascii="Times New Roman" w:hAnsi="Times New Roman"/>
          <w:b w:val="false"/>
          <w:i w:val="false"/>
          <w:color w:val="000000"/>
          <w:sz w:val="22"/>
        </w:rPr>
        <w:t> </w:t>
      </w:r>
      <w:r>
        <w:rPr>
          <w:rFonts w:ascii="Times New Roman" w:hAnsi="Times New Roman"/>
          <w:b w:val="false"/>
          <w:i w:val="false"/>
          <w:color w:val="000000"/>
          <w:sz w:val="22"/>
        </w:rPr>
        <w:t>Prospective adoptive families may appeal denial of approval of their home study.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441—200.8</w:t>
      </w:r>
      <w:r>
        <w:rPr>
          <w:rFonts w:ascii="Times New Roman" w:hAnsi="Times New Roman"/>
          <w:b/>
          <w:i w:val="false"/>
          <w:color w:val="000000"/>
          <w:sz w:val="22"/>
        </w:rPr>
        <w:t xml:space="preserve">(600) </w:t>
      </w:r>
      <w:r>
        <w:rPr>
          <w:rFonts w:ascii="Times New Roman" w:hAnsi="Times New Roman"/>
          <w:b/>
          <w:i w:val="false"/>
          <w:color w:val="000000"/>
          <w:sz w:val="22"/>
        </w:rPr>
        <w:t xml:space="preserve">Removal of child from preadoptive family. </w:t>
      </w:r>
      <w:r>
        <w:rPr>
          <w:rFonts w:ascii="Times New Roman" w:hAnsi="Times New Roman"/>
          <w:b w:val="false"/>
          <w:i w:val="false"/>
          <w:color w:val="000000"/>
          <w:sz w:val="22"/>
        </w:rPr>
        <w:t>When the department determines that it is in the child’s best interest to be removed from a preadoptive family, a Letter of Removal form shall be mailed to the family prior to removal. Removal of a child from a preadoptive family is not an appealable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441—200.9</w:t>
      </w:r>
      <w:r>
        <w:rPr>
          <w:rFonts w:ascii="Times New Roman" w:hAnsi="Times New Roman"/>
          <w:b/>
          <w:i w:val="false"/>
          <w:color w:val="000000"/>
          <w:sz w:val="22"/>
        </w:rPr>
        <w:t xml:space="preserve">(600) </w:t>
      </w:r>
      <w:r>
        <w:rPr>
          <w:rFonts w:ascii="Times New Roman" w:hAnsi="Times New Roman"/>
          <w:b/>
          <w:i w:val="false"/>
          <w:color w:val="000000"/>
          <w:sz w:val="22"/>
        </w:rPr>
        <w:t xml:space="preserve">Consents.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200.9(1)</w:t>
      </w:r>
      <w:r>
        <w:rPr>
          <w:rFonts w:ascii="Times New Roman" w:hAnsi="Times New Roman"/>
          <w:b w:val="false"/>
          <w:i w:val="false"/>
          <w:color w:val="000000"/>
          <w:sz w:val="22"/>
        </w:rPr>
        <w:t> </w:t>
      </w:r>
      <w:r>
        <w:rPr>
          <w:rFonts w:ascii="Times New Roman" w:hAnsi="Times New Roman"/>
          <w:b w:val="false"/>
          <w:i w:val="false"/>
          <w:color w:val="000000"/>
          <w:sz w:val="22"/>
        </w:rPr>
        <w:t>A request for consent to the adoption shall be submitted to the guardian for a child who is under the guardianship of the department and for whom finalizing an adoption is recommended. If the adoption is in the best interest of the child, the department shall sign a Consent to Adoption form, prior to a court hearing finalizing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200.9(2)</w:t>
      </w:r>
      <w:r>
        <w:rPr>
          <w:rFonts w:ascii="Times New Roman" w:hAnsi="Times New Roman"/>
          <w:b w:val="false"/>
          <w:i w:val="false"/>
          <w:color w:val="000000"/>
          <w:sz w:val="22"/>
        </w:rPr>
        <w:t> </w:t>
      </w:r>
      <w:r>
        <w:rPr>
          <w:rFonts w:ascii="Times New Roman" w:hAnsi="Times New Roman"/>
          <w:b w:val="false"/>
          <w:i w:val="false"/>
          <w:color w:val="000000"/>
          <w:sz w:val="22"/>
        </w:rPr>
        <w:t>A consent to adopt may be rescinded by the department, by signing a Rescinding the Consent to Adoption form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founded child abuse report, dependent adult abuse report, accusation of child abuse, or dependent adult abuse pending determination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Conviction of a crime, or accusation of a crime, pending a court decision regarding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a child who is aged 14 or over and has reversed the decision regarding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verified indications that the adoption is not in the best interest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441—200.10</w:t>
      </w:r>
      <w:r>
        <w:rPr>
          <w:rFonts w:ascii="Times New Roman" w:hAnsi="Times New Roman"/>
          <w:b/>
          <w:i w:val="false"/>
          <w:color w:val="000000"/>
          <w:sz w:val="22"/>
        </w:rPr>
        <w:t xml:space="preserve">(600) </w:t>
      </w:r>
      <w:r>
        <w:rPr>
          <w:rFonts w:ascii="Times New Roman" w:hAnsi="Times New Roman"/>
          <w:b/>
          <w:i w:val="false"/>
          <w:color w:val="000000"/>
          <w:sz w:val="22"/>
        </w:rPr>
        <w:t xml:space="preserve">Requests for access to information for research or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200.10(1)</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 xml:space="preserve">Any person seeking access to the department’s sealed adoption records for the purpose or purposes set forth in Iowa Code section </w:t>
      </w:r>
      <w:hyperlink r:id="rId18">
        <w:r>
          <w:rPr>
            <w:rStyle w:val="Hyperlink"/>
            <w:rFonts w:ascii="Times New Roman" w:hAnsi="Times New Roman"/>
            <w:b w:val="false"/>
            <w:i w:val="false"/>
            <w:color w:val="000000"/>
            <w:sz w:val="22"/>
          </w:rPr>
          <w:t>600.16(1)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600.24(2)</w:t>
        </w:r>
      </w:hyperlink>
      <w:r>
        <w:rPr>
          <w:rFonts w:ascii="Times New Roman" w:hAnsi="Times New Roman"/>
          <w:b w:val="false"/>
          <w:i w:val="false"/>
          <w:color w:val="000000"/>
          <w:sz w:val="22"/>
        </w:rPr>
        <w:t xml:space="preserve"> shall submit a request in writing to the department. Each request shall contain sufficient facts to establish that the information sought is necessary for conducting a legitimate medical research project, or for treating a patient in a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200.10(2)</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Upon receipt of a request for information sought in conducting a research project, the director or a designee shall review the request for information and make a decision to approve or deny the request based on the research to be conducted, the benefits of the research, the methodology, and the confidentiality measures to be followed. Upon a request for information for treating a patient in a medical facility, a decision regarding approval or denial shall be made by the director or designee based on the written information provided by a physician or the medical facility making the request. A requester shall be notified in writing of approval or denial and, if denied, reasons for denial 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441—200.11</w:t>
      </w:r>
      <w:r>
        <w:rPr>
          <w:rFonts w:ascii="Times New Roman" w:hAnsi="Times New Roman"/>
          <w:b/>
          <w:i w:val="false"/>
          <w:color w:val="000000"/>
          <w:sz w:val="22"/>
        </w:rPr>
        <w:t xml:space="preserve">(600) </w:t>
      </w:r>
      <w:r>
        <w:rPr>
          <w:rFonts w:ascii="Times New Roman" w:hAnsi="Times New Roman"/>
          <w:b/>
          <w:i w:val="false"/>
          <w:color w:val="000000"/>
          <w:sz w:val="22"/>
        </w:rPr>
        <w:t xml:space="preserve">Requests for information for purposes other than research or treatment. </w:t>
      </w:r>
      <w:r>
        <w:rPr>
          <w:rFonts w:ascii="Times New Roman" w:hAnsi="Times New Roman"/>
          <w:b w:val="false"/>
          <w:i w:val="false"/>
          <w:color w:val="000000"/>
          <w:sz w:val="22"/>
        </w:rPr>
        <w:t>Requests for information from department adoption records for purposes other than research or treatment shall be made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release identifying information from sealed adoption records. Adult adoptees, adoptive parents, birth parents, siblings or descendants of an adopted person, or legal representatives of any of the above,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adoption packet containing a sample affidavit for filing with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Directions for filing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county clerks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the bureau of vital statistics,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Instructions on how to obtain the name of the Iowa county where the adoption was finalized,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200.11(2)</w:t>
      </w:r>
      <w:r>
        <w:rPr>
          <w:rFonts w:ascii="Times New Roman" w:hAnsi="Times New Roman"/>
          <w:b w:val="false"/>
          <w:i w:val="false"/>
          <w:color w:val="000000"/>
          <w:sz w:val="22"/>
        </w:rPr>
        <w:t> </w:t>
      </w:r>
      <w:r>
        <w:rPr>
          <w:rFonts w:ascii="Times New Roman" w:hAnsi="Times New Roman"/>
          <w:b w:val="false"/>
          <w:i w:val="false"/>
          <w:color w:val="000000"/>
          <w:sz w:val="22"/>
        </w:rPr>
        <w:t>An adopted person who was a resident of the Annie Wittenmyer Home may receive nonidentifying information from Annie Wittenmyer records if the information is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2/11/77, Notice 11/3/76—published 3/9/77, effective 2/1/77]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10/23/80, Notices 8/20/80, 9/3/80—published 11/12/80, effective 12/17/80]</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10/28/83, Notice 8/17/83—published 11/23/83, effective 1/1/84]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4/2/84, Notice 2/15/84—published 4/25/84, effective 6/1/84]</w:t>
      </w:r>
    </w:p>
    <w:p>
      <w:pPr>
        <w:spacing w:before="0" w:after="0"/>
        <w:ind w:left="120"/>
        <w:jc w:val="center"/>
      </w:pPr>
      <w:r>
        <w:rPr>
          <w:rFonts w:ascii="Times New Roman" w:hAnsi="Times New Roman"/>
          <w:b w:val="false"/>
          <w:i w:val="false"/>
          <w:color w:val="000000"/>
          <w:sz w:val="21"/>
        </w:rPr>
        <w:t>[Filed 3/22/85, Notice 10/24/84—published 4/10/85, effective 6/1/85]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4/13/95, Notice 2/1/95—published 5/10/95, effective 7/1/95]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8/15/96, Notice 6/5/96—published 9/11/96, effective 11/1/96]</w:t>
      </w:r>
    </w:p>
    <w:p>
      <w:pPr>
        <w:spacing w:before="0" w:after="0"/>
        <w:ind w:left="120"/>
        <w:jc w:val="center"/>
      </w:pPr>
      <w:r>
        <w:rPr>
          <w:rFonts w:ascii="Times New Roman" w:hAnsi="Times New Roman"/>
          <w:b w:val="false"/>
          <w:i w:val="false"/>
          <w:color w:val="000000"/>
          <w:sz w:val="21"/>
        </w:rPr>
        <w:t>[Filed 4/11/97, Notice 1/15/97—published 5/7/97, effective 7/1/97]</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6/14/07—published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2/11/77, Notice 11/3/76—published 3/9/77, effective 2/1/77]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10/23/80, Notices 8/20/80, 9/3/80—published 11/12/80, effective 12/17/80]</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10/28/83, Notice 8/17/83—published 11/23/83, effective 1/1/84]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4/2/84, Notice 2/15/84—published 4/25/84, effective 6/1/84]</w:t>
      </w:r>
    </w:p>
    <w:p>
      <w:pPr>
        <w:spacing w:before="0" w:after="0"/>
        <w:ind w:left="120"/>
        <w:jc w:val="center"/>
      </w:pPr>
      <w:r>
        <w:rPr>
          <w:rFonts w:ascii="Times New Roman" w:hAnsi="Times New Roman"/>
          <w:b w:val="false"/>
          <w:i w:val="false"/>
          <w:color w:val="000000"/>
          <w:sz w:val="21"/>
        </w:rPr>
        <w:t>[Filed 3/22/85, Notice 10/24/84—published 4/10/85, effective 6/1/85]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4/13/95, Notice 2/1/95—published 5/10/95, effective 7/1/95]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8/15/96, Notice 6/5/96—published 9/11/96, effective 11/1/96]</w:t>
      </w:r>
    </w:p>
    <w:p>
      <w:pPr>
        <w:spacing w:before="0" w:after="0"/>
        <w:ind w:left="120"/>
        <w:jc w:val="center"/>
      </w:pPr>
      <w:r>
        <w:rPr>
          <w:rFonts w:ascii="Times New Roman" w:hAnsi="Times New Roman"/>
          <w:b w:val="false"/>
          <w:i w:val="false"/>
          <w:color w:val="000000"/>
          <w:sz w:val="21"/>
        </w:rPr>
        <w:t>[Filed 4/11/97, Notice 1/15/97—published 5/7/97, effective 7/1/97]</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6/14/07—published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ARC 7606B</w:t>
      </w:r>
      <w:r>
        <w:rPr>
          <w:rFonts w:ascii="Times New Roman" w:hAnsi="Times New Roman"/>
          <w:b w:val="false"/>
          <w:i w:val="false"/>
          <w:color w:val="000000"/>
          <w:sz w:val="21"/>
        </w:rPr>
        <w:t xml:space="preserve"> (Notice ARC 7372B, IAB 12/3/08)</w:t>
      </w:r>
      <w:r>
        <w:rPr>
          <w:rFonts w:ascii="Times New Roman" w:hAnsi="Times New Roman"/>
          <w:b w:val="false"/>
          <w:i w:val="false"/>
          <w:color w:val="000000"/>
          <w:sz w:val="21"/>
        </w:rPr>
        <w:t>, IAB 3/11/09, effective 5/1/09]</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ARC 1754C</w:t>
      </w:r>
      <w:r>
        <w:rPr>
          <w:rFonts w:ascii="Times New Roman" w:hAnsi="Times New Roman"/>
          <w:b w:val="false"/>
          <w:i w:val="false"/>
          <w:color w:val="000000"/>
          <w:sz w:val="21"/>
        </w:rPr>
        <w:t xml:space="preserve"> (Notice ARC 1657C, IAB 10/1/14)</w:t>
      </w:r>
      <w:r>
        <w:rPr>
          <w:rFonts w:ascii="Times New Roman" w:hAnsi="Times New Roman"/>
          <w:b w:val="false"/>
          <w:i w:val="false"/>
          <w:color w:val="000000"/>
          <w:sz w:val="21"/>
        </w:rPr>
        <w:t>, IAB 12/10/14, effective 2/1/15]</w:t>
      </w:r>
    </w:p>
    <w:p>
      <w:pPr>
        <w:spacing w:before="0" w:after="0"/>
        <w:ind w:left="120"/>
        <w:jc w:val="center"/>
      </w:pPr>
      <w:r>
        <w:rPr>
          <w:rFonts w:ascii="Times New Roman" w:hAnsi="Times New Roman"/>
          <w:b w:val="false"/>
          <w:i w:val="false"/>
          <w:color w:val="000000"/>
          <w:sz w:val="21"/>
        </w:rPr>
        <w:t>[Filed ARC 1808C</w:t>
      </w:r>
      <w:r>
        <w:rPr>
          <w:rFonts w:ascii="Times New Roman" w:hAnsi="Times New Roman"/>
          <w:b w:val="false"/>
          <w:i w:val="false"/>
          <w:color w:val="000000"/>
          <w:sz w:val="21"/>
        </w:rPr>
        <w:t xml:space="preserve"> (Notice ARC 1706C,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8110C</w:t>
      </w:r>
      <w:r>
        <w:rPr>
          <w:rFonts w:ascii="Times New Roman" w:hAnsi="Times New Roman"/>
          <w:b w:val="false"/>
          <w:i w:val="false"/>
          <w:color w:val="000000"/>
          <w:sz w:val="21"/>
        </w:rPr>
        <w:t xml:space="preserve"> (Notice ARC 7378C,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201.3.pdf" Type="http://schemas.openxmlformats.org/officeDocument/2006/relationships/hyperlink" Id="rId5"/>
    <Relationship TargetMode="External" Target="https://www.legis.iowa.gov/docs/ico/chapter/600.8.pdf" Type="http://schemas.openxmlformats.org/officeDocument/2006/relationships/hyperlink" Id="rId6"/>
    <Relationship TargetMode="External" Target="https://www.legis.iowa.gov/docs/ico/chapter/600.8.pdf" Type="http://schemas.openxmlformats.org/officeDocument/2006/relationships/hyperlink" Id="rId7"/>
    <Relationship TargetMode="External" Target="https://www.legis.iowa.gov/docs/iac/rule/441.113.13.pdf" Type="http://schemas.openxmlformats.org/officeDocument/2006/relationships/hyperlink" Id="rId8"/>
    <Relationship TargetMode="External" Target="https://www.legis.iowa.gov/docs/iac/rule/441.113.13.pdf" Type="http://schemas.openxmlformats.org/officeDocument/2006/relationships/hyperlink" Id="rId9"/>
    <Relationship TargetMode="External" Target="https://www.legis.iowa.gov/docs/iac/rule/441.108.9.pdf" Type="http://schemas.openxmlformats.org/officeDocument/2006/relationships/hyperlink" Id="rId10"/>
    <Relationship TargetMode="External" Target="https://www.legis.iowa.gov/docs/ico/chapter/600.8.pdf" Type="http://schemas.openxmlformats.org/officeDocument/2006/relationships/hyperlink" Id="rId11"/>
    <Relationship TargetMode="External" Target="https://www.legis.iowa.gov/docs/iac/rule/441.200.4.pdf" Type="http://schemas.openxmlformats.org/officeDocument/2006/relationships/hyperlink" Id="rId12"/>
    <Relationship TargetMode="External" Target="https://www.legis.iowa.gov/docs/iac/chapter/441.113.pdf" Type="http://schemas.openxmlformats.org/officeDocument/2006/relationships/hyperlink" Id="rId13"/>
    <Relationship TargetMode="External" Target="https://www.legis.iowa.gov/docs/ico/chapter/232.117.pdf" Type="http://schemas.openxmlformats.org/officeDocument/2006/relationships/hyperlink" Id="rId14"/>
    <Relationship TargetMode="External" Target="https://www.legis.iowa.gov/docs/ico/chapter/232.7.pdf" Type="http://schemas.openxmlformats.org/officeDocument/2006/relationships/hyperlink" Id="rId15"/>
    <Relationship TargetMode="External" Target="https://www.legis.iowa.gov/docs/ico/chapter/232B.pdf" Type="http://schemas.openxmlformats.org/officeDocument/2006/relationships/hyperlink" Id="rId16"/>
    <Relationship TargetMode="External" Target="https://www.legis.iowa.gov/docs/ico/chapter/232.158-166.pdf" Type="http://schemas.openxmlformats.org/officeDocument/2006/relationships/hyperlink" Id="rId17"/>
    <Relationship TargetMode="External" Target="https://www.legis.iowa.gov/docs/ico/chapter/600.16.pdf" Type="http://schemas.openxmlformats.org/officeDocument/2006/relationships/hyperlink" Id="rId18"/>
    <Relationship TargetMode="External" Target="https://www.legis.iowa.gov/docs/ico/chapter/600.24.pdf" Type="http://schemas.openxmlformats.org/officeDocument/2006/relationships/hyperlink" Id="rId19"/>
    <Relationship TargetMode="External" Target="https://www.legis.iowa.gov/docs/ico/chapter/600.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