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177</w:t>
      </w:r>
    </w:p>
    <w:p>
      <w:pPr>
        <w:spacing w:before="0" w:after="0"/>
        <w:ind w:left="120"/>
        <w:jc w:val="center"/>
      </w:pPr>
      <w:r>
        <w:rPr>
          <w:rFonts w:ascii="Times New Roman" w:hAnsi="Times New Roman"/>
          <w:b w:val="false"/>
          <w:i w:val="false"/>
          <w:color w:val="000000"/>
          <w:sz w:val="21"/>
        </w:rPr>
        <w:t>IN-HOME HEALTH-RELATED CARE</w:t>
      </w:r>
    </w:p>
    <w:p>
      <w:pPr>
        <w:spacing w:before="0" w:after="0"/>
        <w:ind w:left="120"/>
        <w:jc w:val="center"/>
      </w:pPr>
      <w:r>
        <w:rPr>
          <w:rFonts w:ascii="Times New Roman" w:hAnsi="Times New Roman"/>
          <w:b w:val="false"/>
          <w:i w:val="false"/>
          <w:color w:val="000000"/>
          <w:sz w:val="20"/>
        </w:rPr>
        <w:t>[Prior to 7/1/83, Social Services[770] Ch 148]</w:t>
      </w:r>
    </w:p>
    <w:p>
      <w:pPr>
        <w:spacing w:before="0" w:after="0"/>
        <w:ind w:left="120"/>
        <w:jc w:val="center"/>
      </w:pPr>
      <w:r>
        <w:rPr>
          <w:rFonts w:ascii="Times New Roman" w:hAnsi="Times New Roman"/>
          <w:b w:val="false"/>
          <w:i w:val="false"/>
          <w:color w:val="000000"/>
          <w:sz w:val="20"/>
        </w:rPr>
        <w:t>[Previously appeared as Ch 148—renumbered IAB 2/29/84]</w:t>
      </w:r>
    </w:p>
    <w:p>
      <w:pPr>
        <w:spacing w:before="0" w:after="0"/>
        <w:ind w:left="120"/>
        <w:jc w:val="center"/>
      </w:pPr>
      <w:r>
        <w:rPr>
          <w:rFonts w:ascii="Times New Roman" w:hAnsi="Times New Roman"/>
          <w:b w:val="false"/>
          <w:i w:val="false"/>
          <w:color w:val="000000"/>
          <w:sz w:val="20"/>
        </w:rPr>
        <w:t>[Prior to 2/11/87, Human Services [498]]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10/1/31</w:t>
      </w:r>
    </w:p>
    <w:p>
      <w:pPr>
        <w:spacing w:before="0" w:after="0"/>
        <w:ind w:left="120"/>
        <w:jc w:val="both"/>
      </w:pPr>
      <w:r>
        <w:rPr>
          <w:rFonts w:ascii="Times New Roman" w:hAnsi="Times New Roman"/>
          <w:b/>
          <w:i w:val="false"/>
          <w:color w:val="000000"/>
          <w:sz w:val="22"/>
        </w:rPr>
        <w:t>441—177.1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“Nursing care”</w:t>
      </w:r>
      <w:r>
        <w:rPr>
          <w:rFonts w:ascii="Times New Roman" w:hAnsi="Times New Roman"/>
          <w:b w:val="false"/>
          <w:i w:val="false"/>
          <w:color w:val="000000"/>
          <w:sz w:val="22"/>
        </w:rPr>
        <w:t> </w:t>
      </w:r>
      <w:r>
        <w:rPr>
          <w:rFonts w:ascii="Times New Roman" w:hAnsi="Times New Roman"/>
          <w:b w:val="false"/>
          <w:i w:val="false"/>
          <w:color w:val="000000"/>
          <w:sz w:val="22"/>
        </w:rPr>
        <w:t>includes skilled services and personal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“Own home”</w:t>
      </w:r>
      <w:r>
        <w:rPr>
          <w:rFonts w:ascii="Times New Roman" w:hAnsi="Times New Roman"/>
          <w:b w:val="false"/>
          <w:i w:val="false"/>
          <w:color w:val="000000"/>
          <w:sz w:val="22"/>
        </w:rPr>
        <w:t> </w:t>
      </w:r>
      <w:r>
        <w:rPr>
          <w:rFonts w:ascii="Times New Roman" w:hAnsi="Times New Roman"/>
          <w:b w:val="false"/>
          <w:i w:val="false"/>
          <w:color w:val="000000"/>
          <w:sz w:val="22"/>
        </w:rPr>
        <w:t>means an individual’s house, apartment, or other living arrangement intended for single or family residential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 services”</w:t>
      </w:r>
      <w:r>
        <w:rPr>
          <w:rFonts w:ascii="Times New Roman" w:hAnsi="Times New Roman"/>
          <w:b w:val="false"/>
          <w:i w:val="false"/>
          <w:color w:val="000000"/>
          <w:sz w:val="22"/>
        </w:rPr>
        <w:t> </w:t>
      </w:r>
      <w:r>
        <w:rPr>
          <w:rFonts w:ascii="Times New Roman" w:hAnsi="Times New Roman"/>
          <w:b w:val="false"/>
          <w:i w:val="false"/>
          <w:color w:val="000000"/>
          <w:sz w:val="22"/>
        </w:rPr>
        <w:t>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Services that assist a client with the activities of daily living, such as but not limited to helping the client with bathing, toileting, getting in and out of bed, ambulation, hair care, oral hygiene and administering medications that are physician-ordered but ordinarily self-administered.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Services that help or retrain the client in necessary skills for daily living.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Incidental household services that are essential to the client’s health care at home and are necessary to prevent or postpone institutionalization.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nursing services”</w:t>
      </w:r>
      <w:r>
        <w:rPr>
          <w:rFonts w:ascii="Times New Roman" w:hAnsi="Times New Roman"/>
          <w:b w:val="false"/>
          <w:i w:val="false"/>
          <w:color w:val="000000"/>
          <w:sz w:val="22"/>
        </w:rPr>
        <w:t> </w:t>
      </w:r>
      <w:r>
        <w:rPr>
          <w:rFonts w:ascii="Times New Roman" w:hAnsi="Times New Roman"/>
          <w:b w:val="false"/>
          <w:i w:val="false"/>
          <w:color w:val="000000"/>
          <w:sz w:val="22"/>
        </w:rPr>
        <w:t>are services for which an individualized assessment of a patient’s clinical condition demonstrates that the specialized judgment, knowledge, and skills of a registered nurse or, when provided by regulation, a licensed practical (vocational) nurse (skilled care)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“Skilled services”</w:t>
      </w:r>
      <w:r>
        <w:rPr>
          <w:rFonts w:ascii="Times New Roman" w:hAnsi="Times New Roman"/>
          <w:b w:val="false"/>
          <w:i w:val="false"/>
          <w:color w:val="000000"/>
          <w:sz w:val="22"/>
        </w:rPr>
        <w:t> </w:t>
      </w:r>
      <w:r>
        <w:rPr>
          <w:rFonts w:ascii="Times New Roman" w:hAnsi="Times New Roman"/>
          <w:b w:val="false"/>
          <w:i w:val="false"/>
          <w:color w:val="000000"/>
          <w:sz w:val="22"/>
        </w:rPr>
        <w:t>include skilled nursing services or other services that, based on a physician’s certification, are required to be performed under the supervision of a physician, nurse practitioner, clinical nurse specialist, or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practitioner”</w:t>
      </w:r>
      <w:r>
        <w:rPr>
          <w:rFonts w:ascii="Times New Roman" w:hAnsi="Times New Roman"/>
          <w:b w:val="false"/>
          <w:i w:val="false"/>
          <w:color w:val="000000"/>
          <w:sz w:val="22"/>
        </w:rPr>
        <w:t> </w:t>
      </w:r>
      <w:r>
        <w:rPr>
          <w:rFonts w:ascii="Times New Roman" w:hAnsi="Times New Roman"/>
          <w:b w:val="false"/>
          <w:i w:val="false"/>
          <w:color w:val="000000"/>
          <w:sz w:val="22"/>
        </w:rPr>
        <w:t>means a physician, nurse practitioner, clinical nurse specialist, or physician associate qualified to supervise skilled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441—177.2</w:t>
      </w:r>
      <w:r>
        <w:rPr>
          <w:rFonts w:ascii="Times New Roman" w:hAnsi="Times New Roman"/>
          <w:b/>
          <w:i w:val="false"/>
          <w:color w:val="000000"/>
          <w:sz w:val="22"/>
        </w:rPr>
        <w:t xml:space="preserve">(249) </w:t>
      </w:r>
      <w:r>
        <w:rPr>
          <w:rFonts w:ascii="Times New Roman" w:hAnsi="Times New Roman"/>
          <w:b/>
          <w:i w:val="false"/>
          <w:color w:val="000000"/>
          <w:sz w:val="22"/>
        </w:rPr>
        <w:t xml:space="preserve">Eligibility and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To be eligible for in-home health-related care (IHHRC):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must be eligible for supplemental security income (SSI) in every respect, except for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must certify in accordance with rule </w:t>
      </w:r>
      <w:hyperlink r:id="rId5">
        <w:r>
          <w:rPr>
            <w:rStyle w:val="Hyperlink"/>
            <w:rFonts w:ascii="Times New Roman" w:hAnsi="Times New Roman"/>
            <w:b w:val="false"/>
            <w:i w:val="false"/>
            <w:color w:val="000000"/>
            <w:sz w:val="22"/>
          </w:rPr>
          <w:t>441—177.5</w:t>
        </w:r>
      </w:hyperlink>
      <w:r>
        <w:rPr>
          <w:rFonts w:ascii="Times New Roman" w:hAnsi="Times New Roman"/>
          <w:b w:val="false"/>
          <w:i w:val="false"/>
          <w:color w:val="000000"/>
          <w:sz w:val="22"/>
        </w:rPr>
        <w:t>(249) that the individual requires either skilled services or personal care services and that those services can be provided in the individual’s own home. The certification shall be provided using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individual shall live in the individual’s own home. Notwithstanding the foregoing, an individual will remain eligible for a period not to exceed 15 days in any calendar month when the client is temporarily absent from the client’s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shall obtain a physical examination report annually and shall be under the supervision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required skilled services or personal care services must not be available under any other state or federal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countable income of the individual and spouse living in the home shall be limited to $480.55 per month if one needs care or $961.10 if both need care, after the following disregards from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SSI standard for an individual or a couple,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income is earned, $65 plus one-half of any remaining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SSI standard for a dependent plus any established unmet medical needs for each dependent living in the home. Any income of the dependent shall be applied to the dependent’s needs before making this disregard.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ineligible spouse that are not otherwise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applicant or recipient that are not otherwise met and would not be met if the individual were eligible for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Income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income received by the parents in the home shall be deemed to the child with the following disregards: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SSI standard for an individual when there is one parent in the home or for a couple when there are two parents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SSI standard for a dependent for each ineligible child in the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the unmet medical needs of the parents and ineligible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all income is earned, an additional basic SSI standard for an individual in a one-parent home or for a couple in a two-parent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the income is both earned and unearned, $65 plus one-half of the remainder of the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countable income of the child shall be limited to $480.55 per month after the following disregards from gross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basic SSI standard for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the established medical needs of the child that are not otherwise met and would not be met if the child were eligible for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One-third of the child support payments received from an absent parent.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IHHRC shall be made on a form prescribed by the department and submitted to the department. An eligibility determination will be completed within 30 days from the date of the application unless one or more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has been filed and is pending for federal SSI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department has not received information that is beyond the control of the client 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due to the disability determination process performed through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is pending because the provider agreement has not been completed and completion is beyond control of the client. When the provider agreement cannot be completed due to the client’s failure to locate a provider, applications will not be held pending beyond 60 days from the date of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441—177.3</w:t>
      </w:r>
      <w:r>
        <w:rPr>
          <w:rFonts w:ascii="Times New Roman" w:hAnsi="Times New Roman"/>
          <w:b/>
          <w:i w:val="false"/>
          <w:color w:val="000000"/>
          <w:sz w:val="22"/>
        </w:rPr>
        <w:t xml:space="preserve">(249) </w:t>
      </w:r>
      <w:r>
        <w:rPr>
          <w:rFonts w:ascii="Times New Roman" w:hAnsi="Times New Roman"/>
          <w:b/>
          <w:i w:val="false"/>
          <w:color w:val="000000"/>
          <w:sz w:val="22"/>
        </w:rPr>
        <w:t xml:space="preserve">Qualifications of providers of health care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provider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177.3(2)</w:t>
      </w:r>
      <w:r>
        <w:rPr>
          <w:rFonts w:ascii="Times New Roman" w:hAnsi="Times New Roman"/>
          <w:b w:val="false"/>
          <w:i w:val="false"/>
          <w:color w:val="000000"/>
          <w:sz w:val="22"/>
        </w:rPr>
        <w:t> </w:t>
      </w:r>
      <w:r>
        <w:rPr>
          <w:rFonts w:ascii="Times New Roman" w:hAnsi="Times New Roman"/>
          <w:b w:val="false"/>
          <w:i/>
          <w:color w:val="000000"/>
          <w:sz w:val="22"/>
        </w:rPr>
        <w:t xml:space="preserve">Health assessment. </w:t>
      </w:r>
      <w:r>
        <w:rPr>
          <w:rFonts w:ascii="Times New Roman" w:hAnsi="Times New Roman"/>
          <w:b w:val="false"/>
          <w:i w:val="false"/>
          <w:color w:val="000000"/>
          <w:sz w:val="22"/>
        </w:rPr>
        <w:t>The provider shall obtain certification on a form prescribed by the department that the provider is physically and emotionally capable of providing assistance to another person whose physical, developmental or mental health prevents independent self-care.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certification shall be based on an examination performed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physician;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advanced registered nurse practitioner or physician associate if the advanced registered nurse practitioner or physician associate is working under the direction of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provider works for an agency, the practitioner performing the examination may not be employed by the same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practitioner conducting the examination shall sign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certification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Before the provider agreement is signed,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177.3(3)</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The provider shall be qualified by training and experience to carry out the health care plan as specified in subrule </w:t>
      </w:r>
      <w:hyperlink r:id="rId6">
        <w:r>
          <w:rPr>
            <w:rStyle w:val="Hyperlink"/>
            <w:rFonts w:ascii="Times New Roman" w:hAnsi="Times New Roman"/>
            <w:b w:val="false"/>
            <w:i w:val="false"/>
            <w:color w:val="000000"/>
            <w:sz w:val="22"/>
          </w:rPr>
          <w:t>177.6(1)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177.3(4)</w:t>
      </w:r>
      <w:r>
        <w:rPr>
          <w:rFonts w:ascii="Times New Roman" w:hAnsi="Times New Roman"/>
          <w:b w:val="false"/>
          <w:i w:val="false"/>
          <w:color w:val="000000"/>
          <w:sz w:val="22"/>
        </w:rPr>
        <w:t> </w:t>
      </w:r>
      <w:r>
        <w:rPr>
          <w:rFonts w:ascii="Times New Roman" w:hAnsi="Times New Roman"/>
          <w:b w:val="false"/>
          <w:i/>
          <w:color w:val="000000"/>
          <w:sz w:val="22"/>
        </w:rPr>
        <w:t xml:space="preserve">Relative. </w:t>
      </w:r>
      <w:r>
        <w:rPr>
          <w:rFonts w:ascii="Times New Roman" w:hAnsi="Times New Roman"/>
          <w:b w:val="false"/>
          <w:i w:val="false"/>
          <w:color w:val="000000"/>
          <w:sz w:val="22"/>
        </w:rPr>
        <w:t>The provider may be related to the client, so long as the provider is not the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Legal spouse, including a common law spouse, who resides in the same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Natural mother or father, adoptive mother or father, or stepmother or stepfather, who resides in the same household.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441—177.4</w:t>
      </w:r>
      <w:r>
        <w:rPr>
          <w:rFonts w:ascii="Times New Roman" w:hAnsi="Times New Roman"/>
          <w:b/>
          <w:i w:val="false"/>
          <w:color w:val="000000"/>
          <w:sz w:val="22"/>
        </w:rPr>
        <w:t xml:space="preserve">(249) </w:t>
      </w:r>
      <w:r>
        <w:rPr>
          <w:rFonts w:ascii="Times New Roman" w:hAnsi="Times New Roman"/>
          <w:b/>
          <w:i w:val="false"/>
          <w:color w:val="000000"/>
          <w:sz w:val="22"/>
        </w:rPr>
        <w:t xml:space="preserve">Physician’s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177.4(1)</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requirements. </w:t>
      </w:r>
      <w:r>
        <w:rPr>
          <w:rFonts w:ascii="Times New Roman" w:hAnsi="Times New Roman"/>
          <w:b w:val="false"/>
          <w:i w:val="false"/>
          <w:color w:val="000000"/>
          <w:sz w:val="22"/>
        </w:rPr>
        <w:t>A physician must certify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skilled services or personal care services are required by the person’s physical, developmental or mental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skilled services or personal care services required, the method of providing those services, and the expected duration of those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required skilled services and personal care services can be delivered in the individual’s own home.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177.4(2)</w:t>
      </w:r>
      <w:r>
        <w:rPr>
          <w:rFonts w:ascii="Times New Roman" w:hAnsi="Times New Roman"/>
          <w:b w:val="false"/>
          <w:i w:val="false"/>
          <w:color w:val="000000"/>
          <w:sz w:val="22"/>
        </w:rPr>
        <w:t> </w:t>
      </w:r>
      <w:r>
        <w:rPr>
          <w:rFonts w:ascii="Times New Roman" w:hAnsi="Times New Roman"/>
          <w:b w:val="false"/>
          <w:i/>
          <w:color w:val="000000"/>
          <w:sz w:val="22"/>
        </w:rPr>
        <w:t xml:space="preserve">Certification review. </w:t>
      </w:r>
      <w:r>
        <w:rPr>
          <w:rFonts w:ascii="Times New Roman" w:hAnsi="Times New Roman"/>
          <w:b w:val="false"/>
          <w:i w:val="false"/>
          <w:color w:val="000000"/>
          <w:sz w:val="22"/>
        </w:rPr>
        <w:t>After certification and any subsequent recertification, a physician must review the certification and withdraw, renew, or amend the existing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later than the three hundred sixty-fifth day after the existing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More frequently than yearly after the existing certification if required by the physician, the department, or a supervising practitioner;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notification of initiation of Medicaid waiver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441—177.5</w:t>
      </w:r>
      <w:r>
        <w:rPr>
          <w:rFonts w:ascii="Times New Roman" w:hAnsi="Times New Roman"/>
          <w:b/>
          <w:i w:val="false"/>
          <w:color w:val="000000"/>
          <w:sz w:val="22"/>
        </w:rPr>
        <w:t xml:space="preserve">(249A) </w:t>
      </w:r>
      <w:r>
        <w:rPr>
          <w:rFonts w:ascii="Times New Roman" w:hAnsi="Times New Roman"/>
          <w:b/>
          <w:i w:val="false"/>
          <w:color w:val="000000"/>
          <w:sz w:val="22"/>
        </w:rPr>
        <w:t xml:space="preserve">Department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177.5(1)</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consultation with the client’s case manager and any supervising health practitioner, the department will create a complete service plan for the client. The plan must avoid duplication of services and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services certified by a physician under rule </w:t>
      </w:r>
      <w:hyperlink r:id="rId7">
        <w:r>
          <w:rPr>
            <w:rStyle w:val="Hyperlink"/>
            <w:rFonts w:ascii="Times New Roman" w:hAnsi="Times New Roman"/>
            <w:b w:val="false"/>
            <w:i w:val="false"/>
            <w:color w:val="000000"/>
            <w:sz w:val="22"/>
          </w:rPr>
          <w:t>441—177.4</w:t>
        </w:r>
      </w:hyperlink>
      <w:r>
        <w:rPr>
          <w:rFonts w:ascii="Times New Roman" w:hAnsi="Times New Roman"/>
          <w:b w:val="false"/>
          <w:i w:val="false"/>
          <w:color w:val="000000"/>
          <w:sz w:val="22"/>
        </w:rPr>
        <w:t>(249).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Payer sources. IHHRC care shall be provided only when other programs cannot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Level of service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history. If the client is being transferred from a medical hospital or long-term care facility, the department will also obtain a transfer document describing the client’s current care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consultation with the client’s case manager and any supervising health practitioner, the department will review and update the service plan on or before the ninetieth day following the creation of or previous review of the service plan. The updated service plan must comply with paragraph </w:t>
      </w:r>
      <w:hyperlink r:id="rId8">
        <w:r>
          <w:rPr>
            <w:rStyle w:val="Hyperlink"/>
            <w:rFonts w:ascii="Times New Roman" w:hAnsi="Times New Roman"/>
            <w:b w:val="false"/>
            <w:i w:val="false"/>
            <w:color w:val="000000"/>
            <w:sz w:val="22"/>
          </w:rPr>
          <w:t>177.5(1)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177.5(2)</w:t>
      </w:r>
      <w:r>
        <w:rPr>
          <w:rFonts w:ascii="Times New Roman" w:hAnsi="Times New Roman"/>
          <w:b w:val="false"/>
          <w:i w:val="false"/>
          <w:color w:val="000000"/>
          <w:sz w:val="22"/>
        </w:rPr>
        <w:t> </w:t>
      </w:r>
      <w:r>
        <w:rPr>
          <w:rFonts w:ascii="Times New Roman" w:hAnsi="Times New Roman"/>
          <w:b w:val="false"/>
          <w:i/>
          <w:color w:val="000000"/>
          <w:sz w:val="22"/>
        </w:rPr>
        <w:t xml:space="preserve">Change in condition. </w:t>
      </w:r>
      <w:r>
        <w:rPr>
          <w:rFonts w:ascii="Times New Roman" w:hAnsi="Times New Roman"/>
          <w:b w:val="false"/>
          <w:i w:val="false"/>
          <w:color w:val="000000"/>
          <w:sz w:val="22"/>
        </w:rPr>
        <w:t>If the department becomes aware of any changes in the individual’s condition, including discharge from a facility, that could require a change in the services provided, the department will ensure that a physician reviews the existing certification and that the existing certification is withdrawn, renewed, or amended.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177.5(3)</w:t>
      </w:r>
      <w:r>
        <w:rPr>
          <w:rFonts w:ascii="Times New Roman" w:hAnsi="Times New Roman"/>
          <w:b w:val="false"/>
          <w:i w:val="false"/>
          <w:color w:val="000000"/>
          <w:sz w:val="22"/>
        </w:rPr>
        <w:t> </w:t>
      </w:r>
      <w:r>
        <w:rPr>
          <w:rFonts w:ascii="Times New Roman" w:hAnsi="Times New Roman"/>
          <w:b w:val="false"/>
          <w:i/>
          <w:color w:val="000000"/>
          <w:sz w:val="22"/>
        </w:rPr>
        <w:t xml:space="preserve">Service documentation.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review the service documentation submitted by the client or provider, including any requests for supplementation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there are concerns as a result of such a review, there will be a change in the service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441—177.6</w:t>
      </w:r>
      <w:r>
        <w:rPr>
          <w:rFonts w:ascii="Times New Roman" w:hAnsi="Times New Roman"/>
          <w:b/>
          <w:i w:val="false"/>
          <w:color w:val="000000"/>
          <w:sz w:val="22"/>
        </w:rPr>
        <w:t xml:space="preserve">(249) </w:t>
      </w:r>
      <w:r>
        <w:rPr>
          <w:rFonts w:ascii="Times New Roman" w:hAnsi="Times New Roman"/>
          <w:b/>
          <w:i w:val="false"/>
          <w:color w:val="000000"/>
          <w:sz w:val="22"/>
        </w:rPr>
        <w:t xml:space="preserve">Supervising practitioner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177.6(1)</w:t>
      </w:r>
      <w:r>
        <w:rPr>
          <w:rFonts w:ascii="Times New Roman" w:hAnsi="Times New Roman"/>
          <w:b w:val="false"/>
          <w:i w:val="false"/>
          <w:color w:val="000000"/>
          <w:sz w:val="22"/>
        </w:rPr>
        <w:t> </w:t>
      </w:r>
      <w:r>
        <w:rPr>
          <w:rFonts w:ascii="Times New Roman" w:hAnsi="Times New Roman"/>
          <w:b w:val="false"/>
          <w:i/>
          <w:color w:val="000000"/>
          <w:sz w:val="22"/>
        </w:rPr>
        <w:t xml:space="preserve">Instruction. </w:t>
      </w:r>
      <w:r>
        <w:rPr>
          <w:rFonts w:ascii="Times New Roman" w:hAnsi="Times New Roman"/>
          <w:b w:val="false"/>
          <w:i w:val="false"/>
          <w:color w:val="000000"/>
          <w:sz w:val="22"/>
        </w:rPr>
        <w:t>The supervising practitioner shall provide instruction specific to each patient and the services each patient is receiving, including but not limited to instruction on documentation the worker should be creating and instruction on warning signs of which the department should be aware.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177.6(2)</w:t>
      </w:r>
      <w:r>
        <w:rPr>
          <w:rFonts w:ascii="Times New Roman" w:hAnsi="Times New Roman"/>
          <w:b w:val="false"/>
          <w:i w:val="false"/>
          <w:color w:val="000000"/>
          <w:sz w:val="22"/>
        </w:rPr>
        <w:t> </w:t>
      </w:r>
      <w:r>
        <w:rPr>
          <w:rFonts w:ascii="Times New Roman" w:hAnsi="Times New Roman"/>
          <w:b w:val="false"/>
          <w:i/>
          <w:color w:val="000000"/>
          <w:sz w:val="22"/>
        </w:rPr>
        <w:t xml:space="preserve">Schedule for reviewing documentation. </w:t>
      </w:r>
      <w:r>
        <w:rPr>
          <w:rFonts w:ascii="Times New Roman" w:hAnsi="Times New Roman"/>
          <w:b w:val="false"/>
          <w:i w:val="false"/>
          <w:color w:val="000000"/>
          <w:sz w:val="22"/>
        </w:rPr>
        <w:t>The supervising practitioner shall set up a schedule for reviewing documentation that is specific to the services being provided to that particular patient and shall review the documentation according to the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177.6(3)</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keep appropriate medical records, a copy of the service plan, and the physician’s certification in the supervising practitioner’s case file. In addition, the medical records shall include, whenever appropriate, transfer forms, physician’s orders, progress notes, drug administration records, treatment records, and incident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make all medical records available to the department, the client, and the client’s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supervising practitioner shall ensure that, upon termination of the in-home care plan, the medical records are transferred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retain medical records transferred to it under paragraph </w:t>
      </w:r>
      <w:hyperlink r:id="rId9">
        <w:r>
          <w:rPr>
            <w:rStyle w:val="Hyperlink"/>
            <w:rFonts w:ascii="Times New Roman" w:hAnsi="Times New Roman"/>
            <w:b w:val="false"/>
            <w:i w:val="false"/>
            <w:color w:val="000000"/>
            <w:sz w:val="22"/>
          </w:rPr>
          <w:t>177.6(3)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five years or, if an audit is commenced within the five years, until completion of that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441—177.7</w:t>
      </w:r>
      <w:r>
        <w:rPr>
          <w:rFonts w:ascii="Times New Roman" w:hAnsi="Times New Roman"/>
          <w:b/>
          <w:i w:val="false"/>
          <w:color w:val="000000"/>
          <w:sz w:val="22"/>
        </w:rPr>
        <w:t xml:space="preserve">(249) </w:t>
      </w:r>
      <w:r>
        <w:rPr>
          <w:rFonts w:ascii="Times New Roman" w:hAnsi="Times New Roman"/>
          <w:b/>
          <w:i w:val="false"/>
          <w:color w:val="000000"/>
          <w:sz w:val="22"/>
        </w:rPr>
        <w:t xml:space="preserve">Written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177.7(1)</w:t>
      </w:r>
      <w:r>
        <w:rPr>
          <w:rFonts w:ascii="Times New Roman" w:hAnsi="Times New Roman"/>
          <w:b w:val="false"/>
          <w:i w:val="false"/>
          <w:color w:val="000000"/>
          <w:sz w:val="22"/>
        </w:rPr>
        <w:t> </w:t>
      </w:r>
      <w:r>
        <w:rPr>
          <w:rFonts w:ascii="Times New Roman" w:hAnsi="Times New Roman"/>
          <w:b w:val="false"/>
          <w:i/>
          <w:color w:val="000000"/>
          <w:sz w:val="22"/>
        </w:rPr>
        <w:t xml:space="preserve">Independent contractor. </w:t>
      </w:r>
      <w:r>
        <w:rPr>
          <w:rFonts w:ascii="Times New Roman" w:hAnsi="Times New Roman"/>
          <w:b w:val="false"/>
          <w:i w:val="false"/>
          <w:color w:val="000000"/>
          <w:sz w:val="22"/>
        </w:rPr>
        <w:t>The provider shall be an independent contractor and shall not be an agent, employee or servant of the state of Iowa, the department or any of its employees or clients.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177.7(2)</w:t>
      </w:r>
      <w:r>
        <w:rPr>
          <w:rFonts w:ascii="Times New Roman" w:hAnsi="Times New Roman"/>
          <w:b w:val="false"/>
          <w:i w:val="false"/>
          <w:color w:val="000000"/>
          <w:sz w:val="22"/>
        </w:rPr>
        <w:t> </w:t>
      </w:r>
      <w:r>
        <w:rPr>
          <w:rFonts w:ascii="Times New Roman" w:hAnsi="Times New Roman"/>
          <w:b w:val="false"/>
          <w:i/>
          <w:color w:val="000000"/>
          <w:sz w:val="22"/>
        </w:rPr>
        <w:t xml:space="preserve">Liability coverage. </w:t>
      </w:r>
      <w:r>
        <w:rPr>
          <w:rFonts w:ascii="Times New Roman" w:hAnsi="Times New Roman"/>
          <w:b w:val="false"/>
          <w:i w:val="false"/>
          <w:color w:val="000000"/>
          <w:sz w:val="22"/>
        </w:rPr>
        <w:t>All professional health care providers shall have adequate liability coverage consistent with the professional health care providers’ responsibilities, since the department assumes no responsibility, or liability, for individuals providing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177.7(3)</w:t>
      </w:r>
      <w:r>
        <w:rPr>
          <w:rFonts w:ascii="Times New Roman" w:hAnsi="Times New Roman"/>
          <w:b w:val="false"/>
          <w:i w:val="false"/>
          <w:color w:val="000000"/>
          <w:sz w:val="22"/>
        </w:rPr>
        <w:t> </w:t>
      </w:r>
      <w:r>
        <w:rPr>
          <w:rFonts w:ascii="Times New Roman" w:hAnsi="Times New Roman"/>
          <w:b w:val="false"/>
          <w:i/>
          <w:color w:val="000000"/>
          <w:sz w:val="22"/>
        </w:rPr>
        <w:t xml:space="preserve">Provider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client and the provider shall enter into an agreement using a form prescribed by the department prior to the provision of service. Any reduction to the state supplemental assistance program shall be applied to the maximum amount paid by the department as stated in the provider agreement by using the separate amendment to provider agreement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instructions for dealing with emergency situations will be completed by the department and included in the provider agreement, which shall be maintained in the client’s home and at the department. The instructions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telephone number of the client’s physician, responsible family members or other significant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as to which hospital to utilize;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as to which ambulance service or other emergency transportation to utilize.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441—177.8</w:t>
      </w:r>
      <w:r>
        <w:rPr>
          <w:rFonts w:ascii="Times New Roman" w:hAnsi="Times New Roman"/>
          <w:b/>
          <w:i w:val="false"/>
          <w:color w:val="000000"/>
          <w:sz w:val="22"/>
        </w:rPr>
        <w:t xml:space="preserve">(249) </w:t>
      </w:r>
      <w:r>
        <w:rPr>
          <w:rFonts w:ascii="Times New Roman" w:hAnsi="Times New Roman"/>
          <w:b/>
          <w:i w:val="false"/>
          <w:color w:val="000000"/>
          <w:sz w:val="22"/>
        </w:rPr>
        <w:t xml:space="preserve">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177.8(1)</w:t>
      </w:r>
      <w:r>
        <w:rPr>
          <w:rFonts w:ascii="Times New Roman" w:hAnsi="Times New Roman"/>
          <w:b w:val="false"/>
          <w:i w:val="false"/>
          <w:color w:val="000000"/>
          <w:sz w:val="22"/>
        </w:rPr>
        <w:t> </w:t>
      </w:r>
      <w:r>
        <w:rPr>
          <w:rFonts w:ascii="Times New Roman" w:hAnsi="Times New Roman"/>
          <w:b w:val="false"/>
          <w:i/>
          <w:color w:val="000000"/>
          <w:sz w:val="22"/>
        </w:rPr>
        <w:t xml:space="preserve">Payment approved. </w:t>
      </w:r>
      <w:r>
        <w:rPr>
          <w:rFonts w:ascii="Times New Roman" w:hAnsi="Times New Roman"/>
          <w:b w:val="false"/>
          <w:i w:val="false"/>
          <w:color w:val="000000"/>
          <w:sz w:val="22"/>
        </w:rPr>
        <w:t xml:space="preserve">Notwithstanding </w:t>
      </w:r>
      <w:r>
        <w:rPr>
          <w:rFonts w:ascii="Times New Roman" w:hAnsi="Times New Roman"/>
          <w:b w:val="false"/>
          <w:i w:val="false"/>
          <w:color w:val="000000"/>
          <w:sz w:val="22"/>
        </w:rPr>
        <w:t>42 U.S.C. §1382(c)(7)</w:t>
      </w:r>
      <w:r>
        <w:rPr>
          <w:rFonts w:ascii="Times New Roman" w:hAnsi="Times New Roman"/>
          <w:b w:val="false"/>
          <w:i w:val="false"/>
          <w:color w:val="000000"/>
          <w:sz w:val="22"/>
        </w:rPr>
        <w:t xml:space="preserve"> as amended to August 1, 2026, after the department approves the service plan, payment is effective as of the later of (1) the date of the application or (2) the date all eligibility requirements are met and qualified health care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177.8(2)</w:t>
      </w:r>
      <w:r>
        <w:rPr>
          <w:rFonts w:ascii="Times New Roman" w:hAnsi="Times New Roman"/>
          <w:b w:val="false"/>
          <w:i w:val="false"/>
          <w:color w:val="000000"/>
          <w:sz w:val="22"/>
        </w:rPr>
        <w:t> </w:t>
      </w:r>
      <w:r>
        <w:rPr>
          <w:rFonts w:ascii="Times New Roman" w:hAnsi="Times New Roman"/>
          <w:b w:val="false"/>
          <w:i/>
          <w:color w:val="000000"/>
          <w:sz w:val="22"/>
        </w:rPr>
        <w:t xml:space="preserve">Client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10">
        <w:r>
          <w:rPr>
            <w:rStyle w:val="Hyperlink"/>
            <w:rFonts w:ascii="Times New Roman" w:hAnsi="Times New Roman"/>
            <w:b w:val="false"/>
            <w:i w:val="false"/>
            <w:color w:val="000000"/>
            <w:sz w:val="22"/>
          </w:rPr>
          <w:t>177.8(2)</w:t>
        </w:r>
      </w:hyperlink>
      <w:r>
        <w:rPr>
          <w:rFonts w:ascii="Times New Roman" w:hAnsi="Times New Roman"/>
          <w:b w:val="false"/>
          <w:i/>
          <w:color w:val="000000"/>
          <w:sz w:val="22"/>
        </w:rPr>
        <w:t>“b,”</w:t>
      </w:r>
      <w:r>
        <w:rPr>
          <w:rFonts w:ascii="Times New Roman" w:hAnsi="Times New Roman"/>
          <w:b w:val="false"/>
          <w:i w:val="false"/>
          <w:color w:val="000000"/>
          <w:sz w:val="22"/>
        </w:rPr>
        <w:t xml:space="preserve"> all income remaining after excluding the amounts identified in paragraphs </w:t>
      </w:r>
      <w:hyperlink r:id="rId11">
        <w:r>
          <w:rPr>
            <w:rStyle w:val="Hyperlink"/>
            <w:rFonts w:ascii="Times New Roman" w:hAnsi="Times New Roman"/>
            <w:b w:val="false"/>
            <w:i w:val="false"/>
            <w:color w:val="000000"/>
            <w:sz w:val="22"/>
          </w:rPr>
          <w:t>177.2(1)</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will be considered income available for services (client participation) and the IHHRC program will pay only the cost of eligible services that exceeds client participation up to the maximum benefit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first month of service is less than a full month, there is no client participation for that month. Payment will be made for the actual days of service provided according to the agreed-upon rate up to the maximum benefit payable.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177.8(3)</w:t>
      </w:r>
      <w:r>
        <w:rPr>
          <w:rFonts w:ascii="Times New Roman" w:hAnsi="Times New Roman"/>
          <w:b w:val="false"/>
          <w:i w:val="false"/>
          <w:color w:val="000000"/>
          <w:sz w:val="22"/>
        </w:rPr>
        <w:t> </w:t>
      </w:r>
      <w:r>
        <w:rPr>
          <w:rFonts w:ascii="Times New Roman" w:hAnsi="Times New Roman"/>
          <w:b w:val="false"/>
          <w:i/>
          <w:color w:val="000000"/>
          <w:sz w:val="22"/>
        </w:rPr>
        <w:t xml:space="preserve">Maximum benefit payable. </w:t>
      </w:r>
      <w:r>
        <w:rPr>
          <w:rFonts w:ascii="Times New Roman" w:hAnsi="Times New Roman"/>
          <w:b w:val="false"/>
          <w:i w:val="false"/>
          <w:color w:val="000000"/>
          <w:sz w:val="22"/>
        </w:rPr>
        <w:t>The maximum benefit payable for IHHRC services inclusive of all services for all providers is the reasonable charges for such services up to and including $480.55. The provider shall accept the maximum benefit payable and shall not charge the client or others in excess of that benefit.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client or the person legally designated to handle the client’s finances shall be the sole payee for payments made under the program and shall be responsible for making payment to the provider except when the client payee becomes incapacitated or dies while receiving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have the authority to issue one payment to a provider on behalf of a client payee who becomes incapacitated or dies while receiving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continuation of an incapacitated client payee in the program is appropriate, the department will assist the client and the client’s family to legally designate a person to handle the client’s finances. Guardians, conservators, protective or representative payees, or persons holding financial power of attorney are considered to be legally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client has a temporary absence from home, payment will not be authorized for over 15 days for any continuous absence whether or not the absence extends into a succeeding month or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177.8(5)</w:t>
      </w:r>
      <w:r>
        <w:rPr>
          <w:rFonts w:ascii="Times New Roman" w:hAnsi="Times New Roman"/>
          <w:b w:val="false"/>
          <w:i w:val="false"/>
          <w:color w:val="000000"/>
          <w:sz w:val="22"/>
        </w:rPr>
        <w:t> </w:t>
      </w:r>
      <w:r>
        <w:rPr>
          <w:rFonts w:ascii="Times New Roman" w:hAnsi="Times New Roman"/>
          <w:b w:val="false"/>
          <w:i/>
          <w:color w:val="000000"/>
          <w:sz w:val="22"/>
        </w:rPr>
        <w:t xml:space="preserve">Reasonable charges. </w:t>
      </w:r>
      <w:r>
        <w:rPr>
          <w:rFonts w:ascii="Times New Roman" w:hAnsi="Times New Roman"/>
          <w:b w:val="false"/>
          <w:i w:val="false"/>
          <w:color w:val="000000"/>
          <w:sz w:val="22"/>
        </w:rPr>
        <w:t>Payment will be made only for reasonable charges for in-home health care services as determined by the department, which will determine reasonableness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prevailing community standards for cost of care for similar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availability of services at no cost to the IHHRC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441—177.9</w:t>
      </w:r>
      <w:r>
        <w:rPr>
          <w:rFonts w:ascii="Times New Roman" w:hAnsi="Times New Roman"/>
          <w:b/>
          <w:i w:val="false"/>
          <w:color w:val="000000"/>
          <w:sz w:val="22"/>
        </w:rPr>
        <w:t xml:space="preserve">(249) </w:t>
      </w:r>
      <w:r>
        <w:rPr>
          <w:rFonts w:ascii="Times New Roman" w:hAnsi="Times New Roman"/>
          <w:b/>
          <w:i w:val="false"/>
          <w:color w:val="000000"/>
          <w:sz w:val="22"/>
        </w:rPr>
        <w:t xml:space="preserve">Termination conditions. </w:t>
      </w:r>
      <w:r>
        <w:rPr>
          <w:rFonts w:ascii="Times New Roman" w:hAnsi="Times New Roman"/>
          <w:b w:val="false"/>
          <w:i w:val="false"/>
          <w:color w:val="000000"/>
          <w:sz w:val="22"/>
        </w:rPr>
        <w:t>Termination of IHHRC will occur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When the client or the client’s legal representative requests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177.9(2)</w:t>
      </w:r>
      <w:r>
        <w:rPr>
          <w:rFonts w:ascii="Times New Roman" w:hAnsi="Times New Roman"/>
          <w:b w:val="false"/>
          <w:i w:val="false"/>
          <w:color w:val="000000"/>
          <w:sz w:val="22"/>
        </w:rPr>
        <w:t> </w:t>
      </w:r>
      <w:r>
        <w:rPr>
          <w:rFonts w:ascii="Times New Roman" w:hAnsi="Times New Roman"/>
          <w:b w:val="false"/>
          <w:i/>
          <w:color w:val="000000"/>
          <w:sz w:val="22"/>
        </w:rPr>
        <w:t xml:space="preserve">Care unnecessary. </w:t>
      </w:r>
      <w:r>
        <w:rPr>
          <w:rFonts w:ascii="Times New Roman" w:hAnsi="Times New Roman"/>
          <w:b w:val="false"/>
          <w:i w:val="false"/>
          <w:color w:val="000000"/>
          <w:sz w:val="22"/>
        </w:rPr>
        <w:t>When the client becomes sufficiently able to remain in the client’s own home with services that can be provided by other sources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177.9(3)</w:t>
      </w:r>
      <w:r>
        <w:rPr>
          <w:rFonts w:ascii="Times New Roman" w:hAnsi="Times New Roman"/>
          <w:b w:val="false"/>
          <w:i w:val="false"/>
          <w:color w:val="000000"/>
          <w:sz w:val="22"/>
        </w:rPr>
        <w:t> </w:t>
      </w:r>
      <w:r>
        <w:rPr>
          <w:rFonts w:ascii="Times New Roman" w:hAnsi="Times New Roman"/>
          <w:b w:val="false"/>
          <w:i/>
          <w:color w:val="000000"/>
          <w:sz w:val="22"/>
        </w:rPr>
        <w:t xml:space="preserve">Additional care necessary. </w:t>
      </w:r>
      <w:r>
        <w:rPr>
          <w:rFonts w:ascii="Times New Roman" w:hAnsi="Times New Roman"/>
          <w:b w:val="false"/>
          <w:i w:val="false"/>
          <w:color w:val="000000"/>
          <w:sz w:val="22"/>
        </w:rPr>
        <w:t>When the physical or mental condition of the client requires more care than can be provided in the client’s own home as determined by the department in consultation with the certifying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177.9(4)</w:t>
      </w:r>
      <w:r>
        <w:rPr>
          <w:rFonts w:ascii="Times New Roman" w:hAnsi="Times New Roman"/>
          <w:b w:val="false"/>
          <w:i w:val="false"/>
          <w:color w:val="000000"/>
          <w:sz w:val="22"/>
        </w:rPr>
        <w:t> </w:t>
      </w:r>
      <w:r>
        <w:rPr>
          <w:rFonts w:ascii="Times New Roman" w:hAnsi="Times New Roman"/>
          <w:b w:val="false"/>
          <w:i/>
          <w:color w:val="000000"/>
          <w:sz w:val="22"/>
        </w:rPr>
        <w:t xml:space="preserve">Excessive costs. </w:t>
      </w:r>
      <w:r>
        <w:rPr>
          <w:rFonts w:ascii="Times New Roman" w:hAnsi="Times New Roman"/>
          <w:b w:val="false"/>
          <w:i w:val="false"/>
          <w:color w:val="000000"/>
          <w:sz w:val="22"/>
        </w:rPr>
        <w:t xml:space="preserve">When the cost of care exceeds the maximum established in subrule </w:t>
      </w:r>
      <w:hyperlink r:id="rId12">
        <w:r>
          <w:rPr>
            <w:rStyle w:val="Hyperlink"/>
            <w:rFonts w:ascii="Times New Roman" w:hAnsi="Times New Roman"/>
            <w:b w:val="false"/>
            <w:i w:val="false"/>
            <w:color w:val="000000"/>
            <w:sz w:val="22"/>
          </w:rPr>
          <w:t>177.9(3)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177.9(5)</w:t>
      </w:r>
      <w:r>
        <w:rPr>
          <w:rFonts w:ascii="Times New Roman" w:hAnsi="Times New Roman"/>
          <w:b w:val="false"/>
          <w:i w:val="false"/>
          <w:color w:val="000000"/>
          <w:sz w:val="22"/>
        </w:rPr>
        <w:t> </w:t>
      </w:r>
      <w:r>
        <w:rPr>
          <w:rFonts w:ascii="Times New Roman" w:hAnsi="Times New Roman"/>
          <w:b w:val="false"/>
          <w:i/>
          <w:color w:val="000000"/>
          <w:sz w:val="22"/>
        </w:rPr>
        <w:t xml:space="preserve">Other services utilized. </w:t>
      </w:r>
      <w:r>
        <w:rPr>
          <w:rFonts w:ascii="Times New Roman" w:hAnsi="Times New Roman"/>
          <w:b w:val="false"/>
          <w:i w:val="false"/>
          <w:color w:val="000000"/>
          <w:sz w:val="22"/>
        </w:rPr>
        <w:t>When the department determines that other services can be utilized to better meet the client’s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177.9(6)</w:t>
      </w:r>
      <w:r>
        <w:rPr>
          <w:rFonts w:ascii="Times New Roman" w:hAnsi="Times New Roman"/>
          <w:b w:val="false"/>
          <w:i w:val="false"/>
          <w:color w:val="000000"/>
          <w:sz w:val="22"/>
        </w:rPr>
        <w:t> </w:t>
      </w:r>
      <w:r>
        <w:rPr>
          <w:rFonts w:ascii="Times New Roman" w:hAnsi="Times New Roman"/>
          <w:b w:val="false"/>
          <w:i/>
          <w:color w:val="000000"/>
          <w:sz w:val="22"/>
        </w:rPr>
        <w:t xml:space="preserve">Terms of provider agreement not met. </w:t>
      </w:r>
      <w:r>
        <w:rPr>
          <w:rFonts w:ascii="Times New Roman" w:hAnsi="Times New Roman"/>
          <w:b w:val="false"/>
          <w:i w:val="false"/>
          <w:color w:val="000000"/>
          <w:sz w:val="22"/>
        </w:rPr>
        <w:t>When it has been determined by the department that the terms of the provider agreement have not been met by the client or the provider, the state supplementary assistance payment may be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177.9(7)</w:t>
      </w:r>
      <w:r>
        <w:rPr>
          <w:rFonts w:ascii="Times New Roman" w:hAnsi="Times New Roman"/>
          <w:b w:val="false"/>
          <w:i w:val="false"/>
          <w:color w:val="000000"/>
          <w:sz w:val="22"/>
        </w:rPr>
        <w:t> </w:t>
      </w:r>
      <w:r>
        <w:rPr>
          <w:rFonts w:ascii="Times New Roman" w:hAnsi="Times New Roman"/>
          <w:b w:val="false"/>
          <w:i/>
          <w:color w:val="000000"/>
          <w:sz w:val="22"/>
        </w:rPr>
        <w:t xml:space="preserve">Failing to comply with program requirements. </w:t>
      </w:r>
      <w:r>
        <w:rPr>
          <w:rFonts w:ascii="Times New Roman" w:hAnsi="Times New Roman"/>
          <w:b w:val="false"/>
          <w:i w:val="false"/>
          <w:color w:val="000000"/>
          <w:sz w:val="22"/>
        </w:rPr>
        <w:t>When the recipient is not following the program requirements or cooperating with the program objectives, including but not limited to a failure to provide documentation to program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177.9(8)</w:t>
      </w:r>
      <w:r>
        <w:rPr>
          <w:rFonts w:ascii="Times New Roman" w:hAnsi="Times New Roman"/>
          <w:b w:val="false"/>
          <w:i w:val="false"/>
          <w:color w:val="000000"/>
          <w:sz w:val="22"/>
        </w:rPr>
        <w:t> </w:t>
      </w:r>
      <w:r>
        <w:rPr>
          <w:rFonts w:ascii="Times New Roman" w:hAnsi="Times New Roman"/>
          <w:b w:val="false"/>
          <w:i/>
          <w:color w:val="000000"/>
          <w:sz w:val="22"/>
        </w:rPr>
        <w:t xml:space="preserve">Notice and appeal. </w:t>
      </w:r>
      <w:r>
        <w:rPr>
          <w:rFonts w:ascii="Times New Roman" w:hAnsi="Times New Roman"/>
          <w:b w:val="false"/>
          <w:i w:val="false"/>
          <w:color w:val="000000"/>
          <w:sz w:val="22"/>
        </w:rPr>
        <w:t xml:space="preserve">Written notice of termination will be provided pursuant to </w:t>
      </w:r>
      <w:hyperlink r:id="rId13">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The decision may be appealed pursuant to </w:t>
      </w:r>
      <w:hyperlink r:id="rId14">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0460D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249.3(2)</w:t>
        </w:r>
      </w:hyperlink>
      <w:r>
        <w:rPr>
          <w:rFonts w:ascii="Times New Roman" w:hAnsi="Times New Roman"/>
          <w:b w:val="false"/>
          <w:i/>
          <w:color w:val="000000"/>
          <w:sz w:val="22"/>
        </w:rPr>
        <w:t>“a”</w:t>
      </w:r>
      <w:r>
        <w:rPr>
          <w:rFonts w:ascii="Times New Roman" w:hAnsi="Times New Roman"/>
          <w:b w:val="false"/>
          <w:i w:val="false"/>
          <w:color w:val="000000"/>
          <w:sz w:val="22"/>
        </w:rPr>
        <w:t>(2).</w:t>
      </w:r>
    </w:p>
    <w:p>
      <w:pPr>
        <w:spacing w:before="0" w:after="0"/>
        <w:ind w:left="120"/>
        <w:jc w:val="center"/>
      </w:pPr>
      <w:r>
        <w:rPr>
          <w:rFonts w:ascii="Times New Roman" w:hAnsi="Times New Roman"/>
          <w:b w:val="false"/>
          <w:i w:val="false"/>
          <w:color w:val="000000"/>
          <w:sz w:val="21"/>
        </w:rPr>
        <w:t>[Filed emergency 10/7/76—published 11/3/76, effective 11/1/76]</w:t>
      </w:r>
    </w:p>
    <w:p>
      <w:pPr>
        <w:spacing w:before="0" w:after="0"/>
        <w:ind w:left="120"/>
        <w:jc w:val="center"/>
      </w:pPr>
      <w:r>
        <w:rPr>
          <w:rFonts w:ascii="Times New Roman" w:hAnsi="Times New Roman"/>
          <w:b w:val="false"/>
          <w:i w:val="false"/>
          <w:color w:val="000000"/>
          <w:sz w:val="21"/>
        </w:rPr>
        <w:t>[Filed emergency 12/17/76—published 1/12/77, effective 12/17/76]</w:t>
      </w:r>
    </w:p>
    <w:p>
      <w:pPr>
        <w:spacing w:before="0" w:after="0"/>
        <w:ind w:left="120"/>
        <w:jc w:val="center"/>
      </w:pPr>
      <w:r>
        <w:rPr>
          <w:rFonts w:ascii="Times New Roman" w:hAnsi="Times New Roman"/>
          <w:b w:val="false"/>
          <w:i w:val="false"/>
          <w:color w:val="000000"/>
          <w:sz w:val="21"/>
        </w:rPr>
        <w:t>[Filed 2/25/77, Notice 11/3/76—published 3/23/77, effective 4/27/77]</w:t>
      </w:r>
    </w:p>
    <w:p>
      <w:pPr>
        <w:spacing w:before="0" w:after="0"/>
        <w:ind w:left="120"/>
        <w:jc w:val="center"/>
      </w:pPr>
      <w:r>
        <w:rPr>
          <w:rFonts w:ascii="Times New Roman" w:hAnsi="Times New Roman"/>
          <w:b w:val="false"/>
          <w:i w:val="false"/>
          <w:color w:val="000000"/>
          <w:sz w:val="21"/>
        </w:rPr>
        <w:t>[Filed emergency 5/24/77—published 6/15/77, effective 7/1/77]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5/24/78, Notice 3/22/78—published 6/14/78, effective 7/19/78]</w:t>
      </w:r>
    </w:p>
    <w:p>
      <w:pPr>
        <w:spacing w:before="0" w:after="0"/>
        <w:ind w:left="120"/>
        <w:jc w:val="center"/>
      </w:pPr>
      <w:r>
        <w:rPr>
          <w:rFonts w:ascii="Times New Roman" w:hAnsi="Times New Roman"/>
          <w:b w:val="false"/>
          <w:i w:val="false"/>
          <w:color w:val="000000"/>
          <w:sz w:val="21"/>
        </w:rPr>
        <w:t>[Filed 12/19/80, Notice 10/29/80—published 1/7/81, effective 2/11/81]</w:t>
      </w:r>
    </w:p>
    <w:p>
      <w:pPr>
        <w:spacing w:before="0" w:after="0"/>
        <w:ind w:left="120"/>
        <w:jc w:val="center"/>
      </w:pPr>
      <w:r>
        <w:rPr>
          <w:rFonts w:ascii="Times New Roman" w:hAnsi="Times New Roman"/>
          <w:b w:val="false"/>
          <w:i w:val="false"/>
          <w:color w:val="000000"/>
          <w:sz w:val="21"/>
        </w:rPr>
        <w:t>[Filed 6/30/81, Notice 4/29/81—published 7/22/81, effective 9/1/81]</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emergency 8/31/84—published 9/26/84, effective 10/1/84]</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6/20/86, Notice 4/23/86—published 7/16/86, effective 9/1/86]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6/9/88—published 6/29/88, effective 7/1/88]</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8/16/90, Notice 7/11/90—published 9/5/90, effective 11/1/90]</w:t>
      </w:r>
    </w:p>
    <w:p>
      <w:pPr>
        <w:spacing w:before="0" w:after="0"/>
        <w:ind w:left="120"/>
        <w:jc w:val="center"/>
      </w:pPr>
      <w:r>
        <w:rPr>
          <w:rFonts w:ascii="Times New Roman" w:hAnsi="Times New Roman"/>
          <w:b w:val="false"/>
          <w:i w:val="false"/>
          <w:color w:val="000000"/>
          <w:sz w:val="21"/>
        </w:rPr>
        <w:t>[Filed 12/11/91, Notice 10/16/91—published 1/8/92, effective 3/1/92]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5/14/92, Notice 3/18/92—published 6/10/92, effective 8/1/92]</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6/16/94, Notice 4/13/94—published 7/6/94, effective 9/1/94]</w:t>
      </w:r>
    </w:p>
    <w:p>
      <w:pPr>
        <w:spacing w:before="0" w:after="0"/>
        <w:ind w:left="120"/>
        <w:jc w:val="center"/>
      </w:pPr>
      <w:r>
        <w:rPr>
          <w:rFonts w:ascii="Times New Roman" w:hAnsi="Times New Roman"/>
          <w:b w:val="false"/>
          <w:i w:val="false"/>
          <w:color w:val="000000"/>
          <w:sz w:val="21"/>
        </w:rPr>
        <w:t>[Filed 8/12/94, Notice 7/6/94—published 8/31/94, effective 11/1/94]</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3/13/96, Notice 1/17/96—published 4/10/96, effective 6/1/96]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emergency 3/12/97—published 4/9/97, effective 4/1/97]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5/14/97, Notice 4/9/97—published 6/4/97, effective 8/1/97]</w:t>
      </w:r>
    </w:p>
    <w:p>
      <w:pPr>
        <w:spacing w:before="0" w:after="0"/>
        <w:ind w:left="120"/>
        <w:jc w:val="center"/>
      </w:pPr>
      <w:r>
        <w:rPr>
          <w:rFonts w:ascii="Times New Roman" w:hAnsi="Times New Roman"/>
          <w:b w:val="false"/>
          <w:i w:val="false"/>
          <w:color w:val="000000"/>
          <w:sz w:val="21"/>
        </w:rPr>
        <w:t>[Filed emergency 12/9/98—published 12/30/98, effective 1/1/99]</w:t>
      </w:r>
    </w:p>
    <w:p>
      <w:pPr>
        <w:spacing w:before="0" w:after="0"/>
        <w:ind w:left="120"/>
        <w:jc w:val="center"/>
      </w:pPr>
      <w:r>
        <w:rPr>
          <w:rFonts w:ascii="Times New Roman" w:hAnsi="Times New Roman"/>
          <w:b w:val="false"/>
          <w:i w:val="false"/>
          <w:color w:val="000000"/>
          <w:sz w:val="21"/>
        </w:rPr>
        <w:t>[Filed 2/10/99, Notice 12/30/98—published 3/10/99, effective 4/15/99]</w:t>
      </w:r>
    </w:p>
    <w:p>
      <w:pPr>
        <w:spacing w:before="0" w:after="0"/>
        <w:ind w:left="120"/>
        <w:jc w:val="center"/>
      </w:pPr>
      <w:r>
        <w:rPr>
          <w:rFonts w:ascii="Times New Roman" w:hAnsi="Times New Roman"/>
          <w:b w:val="false"/>
          <w:i w:val="false"/>
          <w:color w:val="000000"/>
          <w:sz w:val="21"/>
        </w:rPr>
        <w:t>[Filed emergency 12/8/99—published 12/29/99, effective 1/1/00]</w:t>
      </w:r>
    </w:p>
    <w:p>
      <w:pPr>
        <w:spacing w:before="0" w:after="0"/>
        <w:ind w:left="120"/>
        <w:jc w:val="center"/>
      </w:pPr>
      <w:r>
        <w:rPr>
          <w:rFonts w:ascii="Times New Roman" w:hAnsi="Times New Roman"/>
          <w:b w:val="false"/>
          <w:i w:val="false"/>
          <w:color w:val="000000"/>
          <w:sz w:val="21"/>
        </w:rPr>
        <w:t>[Filed 2/9/00, Notice 12/29/99—published 3/8/00, effective 5/1/00]</w:t>
      </w:r>
    </w:p>
    <w:p>
      <w:pPr>
        <w:spacing w:before="0" w:after="0"/>
        <w:ind w:left="120"/>
        <w:jc w:val="center"/>
      </w:pPr>
      <w:r>
        <w:rPr>
          <w:rFonts w:ascii="Times New Roman" w:hAnsi="Times New Roman"/>
          <w:b w:val="false"/>
          <w:i w:val="false"/>
          <w:color w:val="000000"/>
          <w:sz w:val="21"/>
        </w:rPr>
        <w:t>[Filed emergency 7/13/00—published 8/9/00, effective 8/1/00]</w:t>
      </w:r>
    </w:p>
    <w:p>
      <w:pPr>
        <w:spacing w:before="0" w:after="0"/>
        <w:ind w:left="120"/>
        <w:jc w:val="center"/>
      </w:pPr>
      <w:r>
        <w:rPr>
          <w:rFonts w:ascii="Times New Roman" w:hAnsi="Times New Roman"/>
          <w:b w:val="false"/>
          <w:i w:val="false"/>
          <w:color w:val="000000"/>
          <w:sz w:val="21"/>
        </w:rPr>
        <w:t>[Filed 11/8/00, Notice 8/9/00—published 11/29/00, effective 2/1/01]</w:t>
      </w:r>
    </w:p>
    <w:p>
      <w:pPr>
        <w:spacing w:before="0" w:after="0"/>
        <w:ind w:left="120"/>
        <w:jc w:val="center"/>
      </w:pPr>
      <w:r>
        <w:rPr>
          <w:rFonts w:ascii="Times New Roman" w:hAnsi="Times New Roman"/>
          <w:b w:val="false"/>
          <w:i w:val="false"/>
          <w:color w:val="000000"/>
          <w:sz w:val="21"/>
        </w:rPr>
        <w:t>[Filed emergency 4/11/01—published 5/2/01, effective 5/1/01]</w:t>
      </w:r>
    </w:p>
    <w:p>
      <w:pPr>
        <w:spacing w:before="0" w:after="0"/>
        <w:ind w:left="120"/>
        <w:jc w:val="center"/>
      </w:pPr>
      <w:r>
        <w:rPr>
          <w:rFonts w:ascii="Times New Roman" w:hAnsi="Times New Roman"/>
          <w:b w:val="false"/>
          <w:i w:val="false"/>
          <w:color w:val="000000"/>
          <w:sz w:val="21"/>
        </w:rPr>
        <w:t>[Filed 6/13/01, Notice 5/2/01—published 7/11/01, effective 9/1/01]</w:t>
      </w:r>
    </w:p>
    <w:p>
      <w:pPr>
        <w:spacing w:before="0" w:after="0"/>
        <w:ind w:left="120"/>
        <w:jc w:val="center"/>
      </w:pPr>
      <w:r>
        <w:rPr>
          <w:rFonts w:ascii="Times New Roman" w:hAnsi="Times New Roman"/>
          <w:b w:val="false"/>
          <w:i w:val="false"/>
          <w:color w:val="000000"/>
          <w:sz w:val="21"/>
        </w:rPr>
        <w:t>[Filed emergency 7/11/01—published 8/8/01, effective 8/1/01]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10/10/01, Notices 8/8/01, 8/22/01—published 10/31/01, effective 1/1/02]</w:t>
      </w:r>
    </w:p>
    <w:p>
      <w:pPr>
        <w:spacing w:before="0" w:after="0"/>
        <w:ind w:left="120"/>
        <w:jc w:val="center"/>
      </w:pPr>
      <w:r>
        <w:rPr>
          <w:rFonts w:ascii="Times New Roman" w:hAnsi="Times New Roman"/>
          <w:b w:val="false"/>
          <w:i w:val="false"/>
          <w:color w:val="000000"/>
          <w:sz w:val="21"/>
        </w:rPr>
        <w:t>[Filed emergency 12/12/02—published 1/8/03, effective 1/1/03]</w:t>
      </w:r>
    </w:p>
    <w:p>
      <w:pPr>
        <w:spacing w:before="0" w:after="0"/>
        <w:ind w:left="120"/>
        <w:jc w:val="center"/>
      </w:pPr>
      <w:r>
        <w:rPr>
          <w:rFonts w:ascii="Times New Roman" w:hAnsi="Times New Roman"/>
          <w:b w:val="false"/>
          <w:i w:val="false"/>
          <w:color w:val="000000"/>
          <w:sz w:val="21"/>
        </w:rPr>
        <w:t>[Filed 11/19/03, Notice 10/1/03—published 12/10/03, effective 2/1/04]</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ARC 7549B</w:t>
      </w:r>
      <w:r>
        <w:rPr>
          <w:rFonts w:ascii="Times New Roman" w:hAnsi="Times New Roman"/>
          <w:b w:val="false"/>
          <w:i w:val="false"/>
          <w:color w:val="000000"/>
          <w:sz w:val="21"/>
        </w:rPr>
        <w:t xml:space="preserve"> (Notice ARC 7371B, IAB 11/19/08)</w:t>
      </w:r>
      <w:r>
        <w:rPr>
          <w:rFonts w:ascii="Times New Roman" w:hAnsi="Times New Roman"/>
          <w:b w:val="false"/>
          <w:i w:val="false"/>
          <w:color w:val="000000"/>
          <w:sz w:val="21"/>
        </w:rPr>
        <w:t>, IAB 2/11/09, effective 4/1/09]</w:t>
      </w:r>
    </w:p>
    <w:p>
      <w:pPr>
        <w:spacing w:before="0" w:after="0"/>
        <w:ind w:left="120"/>
        <w:jc w:val="center"/>
      </w:pPr>
      <w:r>
        <w:rPr>
          <w:rFonts w:ascii="Times New Roman" w:hAnsi="Times New Roman"/>
          <w:b w:val="false"/>
          <w:i w:val="false"/>
          <w:color w:val="000000"/>
          <w:sz w:val="21"/>
        </w:rPr>
        <w:t>[Filed ARC 8912B</w:t>
      </w:r>
      <w:r>
        <w:rPr>
          <w:rFonts w:ascii="Times New Roman" w:hAnsi="Times New Roman"/>
          <w:b w:val="false"/>
          <w:i w:val="false"/>
          <w:color w:val="000000"/>
          <w:sz w:val="21"/>
        </w:rPr>
        <w:t xml:space="preserve"> (Notice ARC 8690B, IAB 4/21/10)</w:t>
      </w:r>
      <w:r>
        <w:rPr>
          <w:rFonts w:ascii="Times New Roman" w:hAnsi="Times New Roman"/>
          <w:b w:val="false"/>
          <w:i w:val="false"/>
          <w:color w:val="000000"/>
          <w:sz w:val="21"/>
        </w:rPr>
        <w:t>, IAB 6/30/10, effective 9/1/10]</w:t>
      </w:r>
    </w:p>
    <w:p>
      <w:pPr>
        <w:spacing w:before="0" w:after="0"/>
        <w:ind w:left="120"/>
        <w:jc w:val="center"/>
      </w:pPr>
      <w:r>
        <w:rPr>
          <w:rFonts w:ascii="Times New Roman" w:hAnsi="Times New Roman"/>
          <w:b w:val="false"/>
          <w:i w:val="false"/>
          <w:color w:val="000000"/>
          <w:sz w:val="21"/>
        </w:rPr>
        <w:t>[Filed ARC 5019C</w:t>
      </w:r>
      <w:r>
        <w:rPr>
          <w:rFonts w:ascii="Times New Roman" w:hAnsi="Times New Roman"/>
          <w:b w:val="false"/>
          <w:i w:val="false"/>
          <w:color w:val="000000"/>
          <w:sz w:val="21"/>
        </w:rPr>
        <w:t xml:space="preserve"> (Notice ARC 4888C, IAB 1/29/20)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6720C</w:t>
      </w:r>
      <w:r>
        <w:rPr>
          <w:rFonts w:ascii="Times New Roman" w:hAnsi="Times New Roman"/>
          <w:b w:val="false"/>
          <w:i w:val="false"/>
          <w:color w:val="000000"/>
          <w:sz w:val="21"/>
        </w:rPr>
        <w:t xml:space="preserve"> (Notice ARC 6531C, IAB 9/21/22)</w:t>
      </w:r>
      <w:r>
        <w:rPr>
          <w:rFonts w:ascii="Times New Roman" w:hAnsi="Times New Roman"/>
          <w:b w:val="false"/>
          <w:i w:val="false"/>
          <w:color w:val="000000"/>
          <w:sz w:val="21"/>
        </w:rPr>
        <w:t>, IAB 11/30/22, effective 2/1/23]</w:t>
      </w:r>
    </w:p>
    <w:p>
      <w:pPr>
        <w:spacing w:before="0" w:after="0"/>
        <w:ind w:left="120"/>
        <w:jc w:val="center"/>
      </w:pPr>
      <w:r>
        <w:rPr>
          <w:rFonts w:ascii="Times New Roman" w:hAnsi="Times New Roman"/>
          <w:b w:val="false"/>
          <w:i w:val="false"/>
          <w:color w:val="000000"/>
          <w:sz w:val="21"/>
        </w:rPr>
        <w:t>[Editorial change: IAC Supplement 2/22/23]</w:t>
      </w:r>
    </w:p>
    <w:p>
      <w:pPr>
        <w:spacing w:before="0" w:after="0"/>
        <w:ind w:left="120"/>
        <w:jc w:val="center"/>
      </w:pPr>
      <w:r>
        <w:rPr>
          <w:rFonts w:ascii="Times New Roman" w:hAnsi="Times New Roman"/>
          <w:b w:val="false"/>
          <w:i w:val="false"/>
          <w:color w:val="000000"/>
          <w:sz w:val="21"/>
        </w:rPr>
        <w:t>[Filed ARC 0460D</w:t>
      </w:r>
      <w:r>
        <w:rPr>
          <w:rFonts w:ascii="Times New Roman" w:hAnsi="Times New Roman"/>
          <w:b w:val="false"/>
          <w:i w:val="false"/>
          <w:color w:val="000000"/>
          <w:sz w:val="21"/>
        </w:rPr>
        <w:t xml:space="preserve"> (Notice ARC 0302D, IAB 5/27/26)</w:t>
      </w:r>
      <w:r>
        <w:rPr>
          <w:rFonts w:ascii="Times New Roman" w:hAnsi="Times New Roman"/>
          <w:b w:val="false"/>
          <w:i w:val="false"/>
          <w:color w:val="000000"/>
          <w:sz w:val="21"/>
        </w:rPr>
        <w:t>, IAB 8/5/26, effective 10/1/26]</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77.5.pdf" Type="http://schemas.openxmlformats.org/officeDocument/2006/relationships/hyperlink" Id="rId5"/>
    <Relationship TargetMode="External" Target="https://www.legis.iowa.gov/docs/iac/rule/441.177.6.pdf" Type="http://schemas.openxmlformats.org/officeDocument/2006/relationships/hyperlink" Id="rId6"/>
    <Relationship TargetMode="External" Target="https://www.legis.iowa.gov/docs/iac/rule/441.177.4.pdf" Type="http://schemas.openxmlformats.org/officeDocument/2006/relationships/hyperlink" Id="rId7"/>
    <Relationship TargetMode="External" Target="https://www.legis.iowa.gov/docs/iac/rule/441.177.5.pdf" Type="http://schemas.openxmlformats.org/officeDocument/2006/relationships/hyperlink" Id="rId8"/>
    <Relationship TargetMode="External" Target="https://www.legis.iowa.gov/docs/iac/rule/441.177.6.pdf" Type="http://schemas.openxmlformats.org/officeDocument/2006/relationships/hyperlink" Id="rId9"/>
    <Relationship TargetMode="External" Target="https://www.legis.iowa.gov/docs/iac/rule/441.177.8.pdf" Type="http://schemas.openxmlformats.org/officeDocument/2006/relationships/hyperlink" Id="rId10"/>
    <Relationship TargetMode="External" Target="https://www.legis.iowa.gov/docs/iac/rule/441.177.2.pdf" Type="http://schemas.openxmlformats.org/officeDocument/2006/relationships/hyperlink" Id="rId11"/>
    <Relationship TargetMode="External" Target="https://www.legis.iowa.gov/docs/iac/rule/441.177.9.pdf" Type="http://schemas.openxmlformats.org/officeDocument/2006/relationships/hyperlink" Id="rId12"/>
    <Relationship TargetMode="External" Target="https://www.legis.iowa.gov/docs/iac/chapter/441.16.pdf" Type="http://schemas.openxmlformats.org/officeDocument/2006/relationships/hyperlink" Id="rId13"/>
    <Relationship TargetMode="External" Target="https://www.legis.iowa.gov/docs/iac/chapter/441.2506.pdf" Type="http://schemas.openxmlformats.org/officeDocument/2006/relationships/hyperlink" Id="rId14"/>
    <Relationship TargetMode="External" Target="https://www.legis.iowa.gov/docs/ico/chapter/249.3.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