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176</w:t>
      </w:r>
    </w:p>
    <w:p>
      <w:pPr>
        <w:spacing w:before="0" w:after="0"/>
        <w:ind w:left="120"/>
        <w:jc w:val="center"/>
      </w:pPr>
      <w:r>
        <w:rPr>
          <w:rFonts w:ascii="Times New Roman" w:hAnsi="Times New Roman"/>
          <w:b w:val="false"/>
          <w:i w:val="false"/>
          <w:color w:val="000000"/>
          <w:sz w:val="21"/>
        </w:rPr>
        <w:t>DEPENDENT ADULT ABUSE</w:t>
      </w:r>
    </w:p>
    <w:p>
      <w:pPr>
        <w:spacing w:before="0" w:after="0"/>
        <w:ind w:left="120"/>
        <w:jc w:val="center"/>
      </w:pPr>
      <w:r>
        <w:rPr>
          <w:rFonts w:ascii="Times New Roman" w:hAnsi="Times New Roman"/>
          <w:b w:val="false"/>
          <w:i w:val="false"/>
          <w:color w:val="000000"/>
          <w:sz w:val="14"/>
        </w:rPr>
        <w:t>[Prior to 7/1/83, Social Services[770] Ch 156]</w:t>
      </w:r>
    </w:p>
    <w:p>
      <w:pPr>
        <w:spacing w:before="0" w:after="0"/>
        <w:ind w:left="120"/>
        <w:jc w:val="center"/>
      </w:pPr>
      <w:r>
        <w:rPr>
          <w:rFonts w:ascii="Times New Roman" w:hAnsi="Times New Roman"/>
          <w:b w:val="false"/>
          <w:i w:val="false"/>
          <w:color w:val="000000"/>
          <w:sz w:val="14"/>
        </w:rPr>
        <w:t>[Previously appeared as Ch 156—renumbered IAB 2/29/84]</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441—176.1</w:t>
      </w:r>
      <w:r>
        <w:rPr>
          <w:rFonts w:ascii="Times New Roman" w:hAnsi="Times New Roman"/>
          <w:b/>
          <w:i w:val="false"/>
          <w:color w:val="000000"/>
          <w:sz w:val="22"/>
        </w:rPr>
        <w:t xml:space="preserve">(235B)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“Appropriate evaluation or assessment” </w:t>
      </w:r>
      <w:r>
        <w:rPr>
          <w:rFonts w:ascii="Times New Roman" w:hAnsi="Times New Roman"/>
          <w:b w:val="false"/>
          <w:i w:val="false"/>
          <w:color w:val="000000"/>
          <w:sz w:val="22"/>
        </w:rPr>
        <w:t>means that evaluation or assessment reasonably believed by the department to be warranted by the facts and circumstances of the case as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“Assault” </w:t>
      </w:r>
      <w:r>
        <w:rPr>
          <w:rFonts w:ascii="Times New Roman" w:hAnsi="Times New Roman"/>
          <w:b w:val="false"/>
          <w:i w:val="false"/>
          <w:color w:val="000000"/>
          <w:sz w:val="22"/>
        </w:rPr>
        <w:t xml:space="preserve">means “assault” as defined in Iowa Code section </w:t>
      </w:r>
      <w:hyperlink r:id="rId5">
        <w:r>
          <w:rPr>
            <w:rStyle w:val="Hyperlink"/>
            <w:rFonts w:ascii="Times New Roman" w:hAnsi="Times New Roman"/>
            <w:b w:val="false"/>
            <w:i w:val="false"/>
            <w:color w:val="000000"/>
            <w:sz w:val="22"/>
          </w:rPr>
          <w:t>708.1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“Assessment information” </w:t>
      </w:r>
      <w:r>
        <w:rPr>
          <w:rFonts w:ascii="Times New Roman" w:hAnsi="Times New Roman"/>
          <w:b w:val="false"/>
          <w:i w:val="false"/>
          <w:color w:val="000000"/>
          <w:sz w:val="22"/>
        </w:rPr>
        <w:t>means material and data maintained by the department in a manual or automated data storage system concerning the report, assessment or evaluation, or disposition of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“At-risk adult” </w:t>
      </w:r>
      <w:r>
        <w:rPr>
          <w:rFonts w:ascii="Times New Roman" w:hAnsi="Times New Roman"/>
          <w:b w:val="false"/>
          <w:i w:val="false"/>
          <w:color w:val="000000"/>
          <w:sz w:val="22"/>
        </w:rPr>
        <w:t>means an adult who, because of a significant impairment due to a physical or mental disability or both, is unable to meet essential daily needs without assistance and whose personal health or safety is at risk due to such impairments, the environment, substance abuse problems, a lack of services or social supports, a refusal to accept services, or other risk factors identified through an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“Caretaker” </w:t>
      </w:r>
      <w:r>
        <w:rPr>
          <w:rFonts w:ascii="Times New Roman" w:hAnsi="Times New Roman"/>
          <w:b w:val="false"/>
          <w:i w:val="false"/>
          <w:color w:val="000000"/>
          <w:sz w:val="22"/>
        </w:rPr>
        <w:t>means a related or nonrelated person who has the responsibility for the protection, care, or custody of a dependent adult as a result of assuming the responsibility voluntarily, by contract, through employment, or by order of the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“Collateral sources” </w:t>
      </w:r>
      <w:r>
        <w:rPr>
          <w:rFonts w:ascii="Times New Roman" w:hAnsi="Times New Roman"/>
          <w:b w:val="false"/>
          <w:i w:val="false"/>
          <w:color w:val="000000"/>
          <w:sz w:val="22"/>
        </w:rPr>
        <w:t>means any person or agency who is presently providing, either in a professional or paraprofessional capacity, service to the dependent adult, including, but not limited to, doctors, counselors, and public health nurses.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w:t>
      </w:r>
      <w:r>
        <w:rPr>
          <w:rFonts w:ascii="Times New Roman" w:hAnsi="Times New Roman"/>
          <w:b w:val="false"/>
          <w:i w:val="false"/>
          <w:color w:val="000000"/>
          <w:sz w:val="22"/>
        </w:rPr>
        <w:t xml:space="preserve">means any information restricted by Iowa Code chapter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217</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235B</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or </w:t>
      </w:r>
      <w:hyperlink r:id="rId10">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45 CFR 160, 162 and 164 as of January 1, 2023; or any other provision in state or federal law that prohibits disclosure of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“Denial of critical care” </w:t>
      </w:r>
      <w:r>
        <w:rPr>
          <w:rFonts w:ascii="Times New Roman" w:hAnsi="Times New Roman"/>
          <w:b w:val="false"/>
          <w:i w:val="false"/>
          <w:color w:val="000000"/>
          <w:sz w:val="22"/>
        </w:rPr>
        <w:t>exists when the dependent adult’s basic needs are denied or ignored to such an extent that there is immediate or potential danger of the dependent adult suffering injury or death, or is a denial of, or a failure to provide the mental health care necessary to adequately treat the dependent adult’s serious social maladjustment, or is a gross failure of the caretaker to meet the emotional needs of the dependent adult necessary for normal functioning, or is a failure of the caretaker to provide for the proper supervision of the dependent adult.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human services and includes the county and central offices of the department, unless otherwise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“Dependent adult” </w:t>
      </w:r>
      <w:r>
        <w:rPr>
          <w:rFonts w:ascii="Times New Roman" w:hAnsi="Times New Roman"/>
          <w:b w:val="false"/>
          <w:i w:val="false"/>
          <w:color w:val="000000"/>
          <w:sz w:val="22"/>
        </w:rPr>
        <w:t>means a person 18 years of age or older who is unable to protect the person’s own interests or unable to adequately perform or obtain services necessary to meet essential human needs, as a result of a physical or mental condition which requires assistance from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“Dependent adult abuse”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of the following as a result of the willful or negligent acts or omissions of a caretaker: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Physical injury to, or injury which is at variance with the history given of the injury, or unreasonable confinement, unreasonable punishment, or assault of a dependent adult.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commission of a sexual offense under Iowa Code chapter </w:t>
      </w:r>
      <w:hyperlink r:id="rId11">
        <w:r>
          <w:rPr>
            <w:rStyle w:val="Hyperlink"/>
            <w:rFonts w:ascii="Times New Roman" w:hAnsi="Times New Roman"/>
            <w:b w:val="false"/>
            <w:i w:val="false"/>
            <w:color w:val="000000"/>
            <w:sz w:val="22"/>
          </w:rPr>
          <w:t>709</w:t>
        </w:r>
      </w:hyperlink>
      <w:r>
        <w:rPr>
          <w:rFonts w:ascii="Times New Roman" w:hAnsi="Times New Roman"/>
          <w:b w:val="false"/>
          <w:i w:val="false"/>
          <w:color w:val="000000"/>
          <w:sz w:val="22"/>
        </w:rPr>
        <w:t xml:space="preserve"> or Iowa Code section </w:t>
      </w:r>
      <w:hyperlink r:id="rId12">
        <w:r>
          <w:rPr>
            <w:rStyle w:val="Hyperlink"/>
            <w:rFonts w:ascii="Times New Roman" w:hAnsi="Times New Roman"/>
            <w:b w:val="false"/>
            <w:i w:val="false"/>
            <w:color w:val="000000"/>
            <w:sz w:val="22"/>
          </w:rPr>
          <w:t>726.2</w:t>
        </w:r>
      </w:hyperlink>
      <w:r>
        <w:rPr>
          <w:rFonts w:ascii="Times New Roman" w:hAnsi="Times New Roman"/>
          <w:b w:val="false"/>
          <w:i w:val="false"/>
          <w:color w:val="000000"/>
          <w:sz w:val="22"/>
        </w:rPr>
        <w:t xml:space="preserve"> with or against a dependent adult.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Exploitation of a dependent adult, which means the act or process of taking unfair advantage of a dependent adult or the adult’s physical or financial resources, without the informed consent of the dependent adult, including theft, by the use of undue influence, harassment, duress, deception, false representation, or false pretenses.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deprivation of the minimum food, shelter, clothing, supervision, physical or mental health care, and other care necessary to maintain a dependent adult’s life or health.</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Sexual exploitation of a dependent adult by a caretaker. “Sexual exploitation” means any consensual or nonconsensual sexual contact with a dependent adult which includes but is not limited to kissing; touching of the clothed or unclothed inner thigh, breast, groin, buttock, anus, pubes, or genitals; or a sex act, as defined in Iowa Code section </w:t>
      </w:r>
      <w:hyperlink r:id="rId13">
        <w:r>
          <w:rPr>
            <w:rStyle w:val="Hyperlink"/>
            <w:rFonts w:ascii="Times New Roman" w:hAnsi="Times New Roman"/>
            <w:b w:val="false"/>
            <w:i w:val="false"/>
            <w:color w:val="000000"/>
            <w:sz w:val="22"/>
          </w:rPr>
          <w:t>702.17</w:t>
        </w:r>
      </w:hyperlink>
      <w:r>
        <w:rPr>
          <w:rFonts w:ascii="Times New Roman" w:hAnsi="Times New Roman"/>
          <w:b w:val="false"/>
          <w:i w:val="false"/>
          <w:color w:val="000000"/>
          <w:sz w:val="22"/>
        </w:rPr>
        <w:t>. “Sexual exploitation” includes the transmission, display, or taking of electronic images of the unclothed breast, groin, buttock, anus, pubes, or genitals of a dependent adult by a caretaker for a purpose not related to treatment or diagnosis or as part of an ongoing assessment, evaluation or investigation. “Sexual exploitation” does not include touching which is part of a necessary examination, treatment, or care by a caretaker acting within the scope of the practice or employment of the caretaker; the exchange of a brief touch between the dependent adult and a caretaker for the purpose of reassurance, comfort, or casual friendship; or touching between spouses.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Personal degradation of a dependent adult, which means a willful act or statement by a caretaker intended to shame, degrade, humiliate, or otherwise harm the personal dignity of a dependent adult, or where the caretaker knew or reasonably should have known the act or statement would cause shame, degradation, humiliation, or harm to the personal dignity of a reasonable person.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deprivation of the minimum food, shelter, clothing, supervision, physical or mental health care, and other care necessary to maintain a dependent adult’s life or health as a result of the acts or omissions of the dependent adult.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“Expungement” </w:t>
      </w:r>
      <w:r>
        <w:rPr>
          <w:rFonts w:ascii="Times New Roman" w:hAnsi="Times New Roman"/>
          <w:b w:val="false"/>
          <w:i w:val="false"/>
          <w:color w:val="000000"/>
          <w:sz w:val="22"/>
        </w:rPr>
        <w:t xml:space="preserve">means the process of destroying or erasing dependent adult abuse information in compliance with Iowa Code section </w:t>
      </w:r>
      <w:hyperlink r:id="rId14">
        <w:r>
          <w:rPr>
            <w:rStyle w:val="Hyperlink"/>
            <w:rFonts w:ascii="Times New Roman" w:hAnsi="Times New Roman"/>
            <w:b w:val="false"/>
            <w:i w:val="false"/>
            <w:color w:val="000000"/>
            <w:sz w:val="22"/>
          </w:rPr>
          <w:t>235B.9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“Immediate danger to health or safety” </w:t>
      </w:r>
      <w:r>
        <w:rPr>
          <w:rFonts w:ascii="Times New Roman" w:hAnsi="Times New Roman"/>
          <w:b w:val="false"/>
          <w:i w:val="false"/>
          <w:color w:val="000000"/>
          <w:sz w:val="22"/>
        </w:rPr>
        <w:t>means a situation in which death or severe bodily injury could reasonably be expected to occur without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“Immediately” </w:t>
      </w:r>
      <w:r>
        <w:rPr>
          <w:rFonts w:ascii="Times New Roman" w:hAnsi="Times New Roman"/>
          <w:b w:val="false"/>
          <w:i w:val="false"/>
          <w:color w:val="000000"/>
          <w:sz w:val="22"/>
        </w:rPr>
        <w:t>means within 24 hours when referring to mandatory reporters reporting suspected abuse of a dependent adult.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employed as an outreach person” </w:t>
      </w:r>
      <w:r>
        <w:rPr>
          <w:rFonts w:ascii="Times New Roman" w:hAnsi="Times New Roman"/>
          <w:b w:val="false"/>
          <w:i w:val="false"/>
          <w:color w:val="000000"/>
          <w:sz w:val="22"/>
        </w:rPr>
        <w:t>means a person who, in the course of employment, makes regular contacts with dependent adults regarding available community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 xml:space="preserve">as used in the description of exploitation in Iowa Code section </w:t>
      </w:r>
      <w:hyperlink r:id="rId15">
        <w:r>
          <w:rPr>
            <w:rStyle w:val="Hyperlink"/>
            <w:rFonts w:ascii="Times New Roman" w:hAnsi="Times New Roman"/>
            <w:b w:val="false"/>
            <w:i w:val="false"/>
            <w:color w:val="000000"/>
            <w:sz w:val="22"/>
          </w:rPr>
          <w:t>235B.2(5)</w:t>
        </w:r>
      </w:hyperlink>
      <w:r>
        <w:rPr>
          <w:rFonts w:ascii="Times New Roman" w:hAnsi="Times New Roman"/>
          <w:b w:val="false"/>
          <w:i w:val="false"/>
          <w:color w:val="000000"/>
          <w:sz w:val="22"/>
        </w:rPr>
        <w:t>, means a dependent adult’s agreement to allow something to happen that is based on a full disclosure of known facts and circumstances needed to make the decision intelligently, i.e., knowledge of risks involved or alternatives.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“Minimum food, shelter, clothing, supervision, physical and mental health care, and other care” </w:t>
      </w:r>
      <w:r>
        <w:rPr>
          <w:rFonts w:ascii="Times New Roman" w:hAnsi="Times New Roman"/>
          <w:b w:val="false"/>
          <w:i w:val="false"/>
          <w:color w:val="000000"/>
          <w:sz w:val="22"/>
        </w:rPr>
        <w:t>means that food, shelter, clothing, supervision, physical and mental health care, and other care which, if not provided, would constitute denial of critical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“Multidisciplinary team” </w:t>
      </w:r>
      <w:r>
        <w:rPr>
          <w:rFonts w:ascii="Times New Roman" w:hAnsi="Times New Roman"/>
          <w:b w:val="false"/>
          <w:i w:val="false"/>
          <w:color w:val="000000"/>
          <w:sz w:val="22"/>
        </w:rPr>
        <w:t>means a membership of individuals who possess knowledge and skills related to the diagnosis, assessment, and disposition of dependent adult abuse cases and who are professionals practicing in the disciplines of medicine, public health, social work, law, law enforcement and other disciplines relative to dependent adults. Members of the team shall include, but are not limited to, persons representing the area agencies on aging, county attorneys, health care providers, and others involved in advocating or providing services for dependent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injury” </w:t>
      </w:r>
      <w:r>
        <w:rPr>
          <w:rFonts w:ascii="Times New Roman" w:hAnsi="Times New Roman"/>
          <w:b w:val="false"/>
          <w:i w:val="false"/>
          <w:color w:val="000000"/>
          <w:sz w:val="22"/>
        </w:rPr>
        <w:t>means damage to any bodily tissue to the extent that the tissue must undergo a healing process in order to be restored to a sound and healthy condition, or damage to any bodily tissue to the extent that the tissue cannot be restored to a sound and healthy condition, or damage to any bodily tissue which results in the death of the person who has sustained the damage, or physical injury which is at variance with the history given of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“Preponderance of evidence” </w:t>
      </w:r>
      <w:r>
        <w:rPr>
          <w:rFonts w:ascii="Times New Roman" w:hAnsi="Times New Roman"/>
          <w:b w:val="false"/>
          <w:i w:val="false"/>
          <w:color w:val="000000"/>
          <w:sz w:val="22"/>
        </w:rPr>
        <w:t>means evidence which is of greater weight or more convincing than the evidence which is offered in opposition to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“Proper supervision” </w:t>
      </w:r>
      <w:r>
        <w:rPr>
          <w:rFonts w:ascii="Times New Roman" w:hAnsi="Times New Roman"/>
          <w:b w:val="false"/>
          <w:i w:val="false"/>
          <w:color w:val="000000"/>
          <w:sz w:val="22"/>
        </w:rPr>
        <w:t>means that supervision which a reasonable and prudent person would exercise under similar facts and circumstances, but in no event shall a person place a dependent adult in a situation that may endanger the dependent adult’s life or health or cruelly punish or unreasonably confine the dependent adult.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“Registry” </w:t>
      </w:r>
      <w:r>
        <w:rPr>
          <w:rFonts w:ascii="Times New Roman" w:hAnsi="Times New Roman"/>
          <w:b w:val="false"/>
          <w:i w:val="false"/>
          <w:color w:val="000000"/>
          <w:sz w:val="22"/>
        </w:rPr>
        <w:t xml:space="preserve">means the central registry for dependent adult abuse information established in Iowa Code section </w:t>
      </w:r>
      <w:hyperlink r:id="rId16">
        <w:r>
          <w:rPr>
            <w:rStyle w:val="Hyperlink"/>
            <w:rFonts w:ascii="Times New Roman" w:hAnsi="Times New Roman"/>
            <w:b w:val="false"/>
            <w:i w:val="false"/>
            <w:color w:val="000000"/>
            <w:sz w:val="22"/>
          </w:rPr>
          <w:t>235B.5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“Report” </w:t>
      </w:r>
      <w:r>
        <w:rPr>
          <w:rFonts w:ascii="Times New Roman" w:hAnsi="Times New Roman"/>
          <w:b w:val="false"/>
          <w:i w:val="false"/>
          <w:color w:val="000000"/>
          <w:sz w:val="22"/>
        </w:rPr>
        <w:t>means a verbal or written statement, made to the department, which alleges that dependent adult abuse has occurred.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8099B</w:t>
      </w:r>
      <w:r>
        <w:rPr>
          <w:rFonts w:ascii="Times New Roman" w:hAnsi="Times New Roman"/>
          <w:b w:val="false"/>
          <w:i w:val="false"/>
          <w:color w:val="000000"/>
          <w:sz w:val="16"/>
        </w:rPr>
        <w:t>, IAB 9/9/09, effective 8/13/09</w:t>
      </w:r>
      <w:r>
        <w:rPr>
          <w:rFonts w:ascii="Times New Roman" w:hAnsi="Times New Roman"/>
          <w:b w:val="false"/>
          <w:i w:val="false"/>
          <w:color w:val="000000"/>
          <w:sz w:val="16"/>
        </w:rPr>
        <w:t xml:space="preserve">; </w:t>
      </w:r>
      <w:r>
        <w:rPr>
          <w:rFonts w:ascii="Times New Roman" w:hAnsi="Times New Roman"/>
          <w:b/>
          <w:i w:val="false"/>
          <w:color w:val="000000"/>
          <w:sz w:val="16"/>
        </w:rPr>
        <w:t>ARC 9258B</w:t>
      </w:r>
      <w:r>
        <w:rPr>
          <w:rFonts w:ascii="Times New Roman" w:hAnsi="Times New Roman"/>
          <w:b w:val="false"/>
          <w:i w:val="false"/>
          <w:color w:val="000000"/>
          <w:sz w:val="16"/>
        </w:rPr>
        <w:t>, IAB 12/1/10, effective 2/1/11</w:t>
      </w:r>
      <w:r>
        <w:rPr>
          <w:rFonts w:ascii="Times New Roman" w:hAnsi="Times New Roman"/>
          <w:b w:val="false"/>
          <w:i w:val="false"/>
          <w:color w:val="000000"/>
          <w:sz w:val="16"/>
        </w:rPr>
        <w:t xml:space="preserve">; </w:t>
      </w:r>
      <w:r>
        <w:rPr>
          <w:rFonts w:ascii="Times New Roman" w:hAnsi="Times New Roman"/>
          <w:b/>
          <w:i w:val="false"/>
          <w:color w:val="000000"/>
          <w:sz w:val="16"/>
        </w:rPr>
        <w:t>ARC 5142C</w:t>
      </w:r>
      <w:r>
        <w:rPr>
          <w:rFonts w:ascii="Times New Roman" w:hAnsi="Times New Roman"/>
          <w:b w:val="false"/>
          <w:i w:val="false"/>
          <w:color w:val="000000"/>
          <w:sz w:val="16"/>
        </w:rPr>
        <w:t>, IAB 8/12/20, effective 10/1/20</w:t>
      </w:r>
      <w:r>
        <w:rPr>
          <w:rFonts w:ascii="Times New Roman" w:hAnsi="Times New Roman"/>
          <w:b w:val="false"/>
          <w:i w:val="false"/>
          <w:color w:val="000000"/>
          <w:sz w:val="16"/>
        </w:rPr>
        <w:t xml:space="preserve">; </w:t>
      </w:r>
      <w:r>
        <w:rPr>
          <w:rFonts w:ascii="Times New Roman" w:hAnsi="Times New Roman"/>
          <w:b/>
          <w:i w:val="false"/>
          <w:color w:val="000000"/>
          <w:sz w:val="16"/>
        </w:rPr>
        <w:t>ARC 6966C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441—176.2</w:t>
      </w:r>
      <w:r>
        <w:rPr>
          <w:rFonts w:ascii="Times New Roman" w:hAnsi="Times New Roman"/>
          <w:b/>
          <w:i w:val="false"/>
          <w:color w:val="000000"/>
          <w:sz w:val="22"/>
        </w:rPr>
        <w:t xml:space="preserve">(235B) </w:t>
      </w:r>
      <w:r>
        <w:rPr>
          <w:rFonts w:ascii="Times New Roman" w:hAnsi="Times New Roman"/>
          <w:b/>
          <w:i w:val="false"/>
          <w:color w:val="000000"/>
          <w:sz w:val="22"/>
        </w:rPr>
        <w:t xml:space="preserve">Denial of critical care. </w:t>
      </w:r>
      <w:r>
        <w:rPr>
          <w:rFonts w:ascii="Times New Roman" w:hAnsi="Times New Roman"/>
          <w:b w:val="false"/>
          <w:i w:val="false"/>
          <w:color w:val="000000"/>
          <w:sz w:val="22"/>
        </w:rPr>
        <w:t>The failure, by acts or omissions, on the part of the caretaker or dependent adult to provide for minimum food, shelter, clothing, supervision, physical or mental care, and other care necessary for the dependent adult’s health and welfare when financially able to do so or when offered financial and other reasonable means to do so shall constitute denial of critical care to that dependent adult.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6966C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441—176.3</w:t>
      </w:r>
      <w:r>
        <w:rPr>
          <w:rFonts w:ascii="Times New Roman" w:hAnsi="Times New Roman"/>
          <w:b/>
          <w:i w:val="false"/>
          <w:color w:val="000000"/>
          <w:sz w:val="22"/>
        </w:rPr>
        <w:t xml:space="preserve">(235B) </w:t>
      </w:r>
      <w:r>
        <w:rPr>
          <w:rFonts w:ascii="Times New Roman" w:hAnsi="Times New Roman"/>
          <w:b/>
          <w:i w:val="false"/>
          <w:color w:val="000000"/>
          <w:sz w:val="22"/>
        </w:rPr>
        <w:t xml:space="preserve">Appropriate evaluation. </w:t>
      </w:r>
      <w:r>
        <w:rPr>
          <w:rFonts w:ascii="Times New Roman" w:hAnsi="Times New Roman"/>
          <w:b w:val="false"/>
          <w:i w:val="false"/>
          <w:color w:val="000000"/>
          <w:sz w:val="22"/>
        </w:rPr>
        <w:t xml:space="preserve">Upon receipt of a dependent adult abuse report, the department shall conduct an intake sufficient to determine whether the allegation meets criteria and constitutes a report of dependent adult abuse as defined in Iowa Code section </w:t>
      </w:r>
      <w:hyperlink r:id="rId17">
        <w:r>
          <w:rPr>
            <w:rStyle w:val="Hyperlink"/>
            <w:rFonts w:ascii="Times New Roman" w:hAnsi="Times New Roman"/>
            <w:b w:val="false"/>
            <w:i w:val="false"/>
            <w:color w:val="000000"/>
            <w:sz w:val="22"/>
          </w:rPr>
          <w:t>235B.2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176.3(1)</w:t>
      </w:r>
      <w:r>
        <w:rPr>
          <w:rFonts w:ascii="Times New Roman" w:hAnsi="Times New Roman"/>
          <w:b w:val="false"/>
          <w:i w:val="false"/>
          <w:color w:val="000000"/>
          <w:sz w:val="22"/>
        </w:rPr>
        <w:t> </w:t>
      </w:r>
      <w:r>
        <w:rPr>
          <w:rFonts w:ascii="Times New Roman" w:hAnsi="Times New Roman"/>
          <w:b w:val="false"/>
          <w:i w:val="false"/>
          <w:color w:val="000000"/>
          <w:sz w:val="22"/>
        </w:rPr>
        <w:t>Dependent adult abuse reports shall be evaluated when all of the following criteria are alleged to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a reasonable belief the person is a dependent adult.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Dependent adult abuse as defined in Iowa Code section </w:t>
      </w:r>
      <w:hyperlink r:id="rId18">
        <w:r>
          <w:rPr>
            <w:rStyle w:val="Hyperlink"/>
            <w:rFonts w:ascii="Times New Roman" w:hAnsi="Times New Roman"/>
            <w:b w:val="false"/>
            <w:i w:val="false"/>
            <w:color w:val="000000"/>
            <w:sz w:val="22"/>
          </w:rPr>
          <w:t>235B.2</w:t>
        </w:r>
      </w:hyperlink>
      <w:r>
        <w:rPr>
          <w:rFonts w:ascii="Times New Roman" w:hAnsi="Times New Roman"/>
          <w:b w:val="false"/>
          <w:i w:val="false"/>
          <w:color w:val="000000"/>
          <w:sz w:val="22"/>
        </w:rPr>
        <w:t xml:space="preserve"> is suspected.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alleged person responsible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caretaker in reports of physical injury, assault, unreasonable confinement or cruel punishment of a dependent adult; commission of a sexual offense; exploitation; personal degradation; and deprivation of food, shelter, clothing, supervision, physical or mental health care and other care necessary to maintain life or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dependent adult in reports of deprivation of food, shelter, clothing, supervision, physical or mental health care and other care necessary to maintain life or health due to the adult’s own acts or omissions pursuant to Iowa Code section </w:t>
      </w:r>
      <w:hyperlink r:id="rId19">
        <w:r>
          <w:rPr>
            <w:rStyle w:val="Hyperlink"/>
            <w:rFonts w:ascii="Times New Roman" w:hAnsi="Times New Roman"/>
            <w:b w:val="false"/>
            <w:i w:val="false"/>
            <w:color w:val="000000"/>
            <w:sz w:val="22"/>
          </w:rPr>
          <w:t>235B.2(5)</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176.3(2)</w:t>
      </w:r>
      <w:r>
        <w:rPr>
          <w:rFonts w:ascii="Times New Roman" w:hAnsi="Times New Roman"/>
          <w:b w:val="false"/>
          <w:i w:val="false"/>
          <w:color w:val="000000"/>
          <w:sz w:val="22"/>
        </w:rPr>
        <w:t> </w:t>
      </w:r>
      <w:r>
        <w:rPr>
          <w:rFonts w:ascii="Times New Roman" w:hAnsi="Times New Roman"/>
          <w:b w:val="false"/>
          <w:i w:val="false"/>
          <w:color w:val="000000"/>
          <w:sz w:val="22"/>
        </w:rPr>
        <w:t>Nondependent adult abuse situations. The following are not dependent adult abuse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report of domestic abuse under Iowa Code chapter </w:t>
      </w:r>
      <w:hyperlink r:id="rId20">
        <w:r>
          <w:rPr>
            <w:rStyle w:val="Hyperlink"/>
            <w:rFonts w:ascii="Times New Roman" w:hAnsi="Times New Roman"/>
            <w:b w:val="false"/>
            <w:i w:val="false"/>
            <w:color w:val="000000"/>
            <w:sz w:val="22"/>
          </w:rPr>
          <w:t>236</w:t>
        </w:r>
      </w:hyperlink>
      <w:r>
        <w:rPr>
          <w:rFonts w:ascii="Times New Roman" w:hAnsi="Times New Roman"/>
          <w:b w:val="false"/>
          <w:i w:val="false"/>
          <w:color w:val="000000"/>
          <w:sz w:val="22"/>
        </w:rPr>
        <w:t>, Domestic Abuse, does not in and of itself constitute a report of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Circumstances in which the dependent adult declines medical treatment if the dependent adult holds a belief or is an adherent of a religion whose tenets and practices call for reliance on spiritual means in place of reliance on medical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Circumstances in which the dependent adult’s caretaker, acting in accordance with the dependent adult’s stated or implied consent, declines medical treatment if the dependent adult holds a belief or is an adherent of a religion whose tenets and practices call for reliance on spiritual means in place of reliance on medical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Withholding and withdrawing of health care from a dependent adult who is terminally ill in the opinion of a licensed physician when the withholding and withdrawing of health care is done at the request of the dependent adult or at the request of the dependent adult’s next-of-kin or guardian pursuant to the applicable procedures under Iowa Code chapter </w:t>
      </w:r>
      <w:hyperlink r:id="rId21">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144A</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222</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or </w:t>
      </w:r>
      <w:hyperlink r:id="rId25">
        <w:r>
          <w:rPr>
            <w:rStyle w:val="Hyperlink"/>
            <w:rFonts w:ascii="Times New Roman" w:hAnsi="Times New Roman"/>
            <w:b w:val="false"/>
            <w:i w:val="false"/>
            <w:color w:val="000000"/>
            <w:sz w:val="22"/>
          </w:rPr>
          <w:t>633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persons legally incarcerated in a penal setting, either in a local jail or confined to the custody of the director of the department of corrections, when the allegation pertains to correctional staff as caretakers.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176.3(3)</w:t>
      </w:r>
      <w:r>
        <w:rPr>
          <w:rFonts w:ascii="Times New Roman" w:hAnsi="Times New Roman"/>
          <w:b w:val="false"/>
          <w:i w:val="false"/>
          <w:color w:val="000000"/>
          <w:sz w:val="22"/>
        </w:rPr>
        <w:t> </w:t>
      </w:r>
      <w:r>
        <w:rPr>
          <w:rFonts w:ascii="Times New Roman" w:hAnsi="Times New Roman"/>
          <w:b w:val="false"/>
          <w:i w:val="false"/>
          <w:color w:val="000000"/>
          <w:sz w:val="22"/>
        </w:rPr>
        <w:t>Reports of dependent adult abuse which are the result of the acts or omissions of the dependent adult shall be collected and maintained in the files of the dependent adult as assessment information only and shall not be included on the central registry. The central registry shall be notified as to the disposition of the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176.3(4)</w:t>
      </w:r>
      <w:r>
        <w:rPr>
          <w:rFonts w:ascii="Times New Roman" w:hAnsi="Times New Roman"/>
          <w:b w:val="false"/>
          <w:i w:val="false"/>
          <w:color w:val="000000"/>
          <w:sz w:val="22"/>
        </w:rPr>
        <w:t> </w:t>
      </w:r>
      <w:r>
        <w:rPr>
          <w:rFonts w:ascii="Times New Roman" w:hAnsi="Times New Roman"/>
          <w:b w:val="false"/>
          <w:i w:val="false"/>
          <w:color w:val="000000"/>
          <w:sz w:val="22"/>
        </w:rPr>
        <w:t xml:space="preserve">Confirmed, not registered. Reports of physical abuse, denial of critical care by a caretaker, or personal degradation that would otherwise be founded reports shall be considered confirmed, not registered reports if the abuse is determined to be minor, isolated, and unlikely to reoccur. These reports shall be assessments and shall not be included on the central abuse registry. Access to confirmed, not registered reports will be authorized pursuant to Iowa Code section </w:t>
      </w:r>
      <w:hyperlink r:id="rId26">
        <w:r>
          <w:rPr>
            <w:rStyle w:val="Hyperlink"/>
            <w:rFonts w:ascii="Times New Roman" w:hAnsi="Times New Roman"/>
            <w:b w:val="false"/>
            <w:i w:val="false"/>
            <w:color w:val="000000"/>
            <w:sz w:val="22"/>
          </w:rPr>
          <w:t>235B.6(3)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5142C</w:t>
      </w:r>
      <w:r>
        <w:rPr>
          <w:rFonts w:ascii="Times New Roman" w:hAnsi="Times New Roman"/>
          <w:b w:val="false"/>
          <w:i w:val="false"/>
          <w:color w:val="000000"/>
          <w:sz w:val="16"/>
        </w:rPr>
        <w:t>, IAB 8/12/20, effective 10/1/20</w:t>
      </w:r>
      <w:r>
        <w:rPr>
          <w:rFonts w:ascii="Times New Roman" w:hAnsi="Times New Roman"/>
          <w:b w:val="false"/>
          <w:i w:val="false"/>
          <w:color w:val="000000"/>
          <w:sz w:val="16"/>
        </w:rPr>
        <w:t xml:space="preserve">; </w:t>
      </w:r>
      <w:r>
        <w:rPr>
          <w:rFonts w:ascii="Times New Roman" w:hAnsi="Times New Roman"/>
          <w:b/>
          <w:i w:val="false"/>
          <w:color w:val="000000"/>
          <w:sz w:val="16"/>
        </w:rPr>
        <w:t>ARC 6966C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441—176.4</w:t>
      </w:r>
      <w:r>
        <w:rPr>
          <w:rFonts w:ascii="Times New Roman" w:hAnsi="Times New Roman"/>
          <w:b/>
          <w:i w:val="false"/>
          <w:color w:val="000000"/>
          <w:sz w:val="22"/>
        </w:rPr>
        <w:t xml:space="preserve">(235B) </w:t>
      </w:r>
      <w:r>
        <w:rPr>
          <w:rFonts w:ascii="Times New Roman" w:hAnsi="Times New Roman"/>
          <w:b/>
          <w:i w:val="false"/>
          <w:color w:val="000000"/>
          <w:sz w:val="22"/>
        </w:rPr>
        <w:t xml:space="preserve">Reporters. </w:t>
      </w:r>
      <w:r>
        <w:rPr>
          <w:rFonts w:ascii="Times New Roman" w:hAnsi="Times New Roman"/>
          <w:b w:val="false"/>
          <w:i w:val="false"/>
          <w:color w:val="000000"/>
          <w:sz w:val="22"/>
        </w:rPr>
        <w:t>As a function of the central registry, centralized intake shall take reports from mandatory reporters or any other person who believes dependent adult abuse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176.4(1)</w:t>
      </w:r>
      <w:r>
        <w:rPr>
          <w:rFonts w:ascii="Times New Roman" w:hAnsi="Times New Roman"/>
          <w:b w:val="false"/>
          <w:i w:val="false"/>
          <w:color w:val="000000"/>
          <w:sz w:val="22"/>
        </w:rPr>
        <w:t> </w:t>
      </w:r>
      <w:r>
        <w:rPr>
          <w:rFonts w:ascii="Times New Roman" w:hAnsi="Times New Roman"/>
          <w:b w:val="false"/>
          <w:i w:val="false"/>
          <w:color w:val="000000"/>
          <w:sz w:val="22"/>
        </w:rPr>
        <w:t>Mandatory reporters shall report suspected abuse of a dependent adult within 24 hours of becoming aware of an abusive incident.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reporter may use Form 470–2441 or a form developed by the reporter that meets the requirements of Iowa Code section </w:t>
      </w:r>
      <w:hyperlink r:id="rId27">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4393C</w:t>
      </w:r>
      <w:r>
        <w:rPr>
          <w:rFonts w:ascii="Times New Roman" w:hAnsi="Times New Roman"/>
          <w:b w:val="false"/>
          <w:i w:val="false"/>
          <w:color w:val="000000"/>
          <w:sz w:val="16"/>
        </w:rPr>
        <w:t>, IAB 4/10/19, effective 6/1/19</w:t>
      </w:r>
      <w:r>
        <w:rPr>
          <w:rFonts w:ascii="Times New Roman" w:hAnsi="Times New Roman"/>
          <w:b w:val="false"/>
          <w:i w:val="false"/>
          <w:color w:val="000000"/>
          <w:sz w:val="16"/>
        </w:rPr>
        <w:t xml:space="preserve">; </w:t>
      </w:r>
      <w:r>
        <w:rPr>
          <w:rFonts w:ascii="Times New Roman" w:hAnsi="Times New Roman"/>
          <w:b/>
          <w:i w:val="false"/>
          <w:color w:val="000000"/>
          <w:sz w:val="16"/>
        </w:rPr>
        <w:t>ARC 6966C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441—176.5</w:t>
      </w:r>
      <w:r>
        <w:rPr>
          <w:rFonts w:ascii="Times New Roman" w:hAnsi="Times New Roman"/>
          <w:b/>
          <w:i w:val="false"/>
          <w:color w:val="000000"/>
          <w:sz w:val="22"/>
        </w:rPr>
        <w:t xml:space="preserve">(235B) </w:t>
      </w:r>
      <w:r>
        <w:rPr>
          <w:rFonts w:ascii="Times New Roman" w:hAnsi="Times New Roman"/>
          <w:b/>
          <w:i w:val="false"/>
          <w:color w:val="000000"/>
          <w:sz w:val="22"/>
        </w:rPr>
        <w:t xml:space="preserve">Reporting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176.5(1)</w:t>
      </w:r>
      <w:r>
        <w:rPr>
          <w:rFonts w:ascii="Times New Roman" w:hAnsi="Times New Roman"/>
          <w:b w:val="false"/>
          <w:i w:val="false"/>
          <w:color w:val="000000"/>
          <w:sz w:val="22"/>
        </w:rPr>
        <w:t> </w:t>
      </w:r>
      <w:r>
        <w:rPr>
          <w:rFonts w:ascii="Times New Roman" w:hAnsi="Times New Roman"/>
          <w:b w:val="false"/>
          <w:i w:val="false"/>
          <w:color w:val="000000"/>
          <w:sz w:val="22"/>
        </w:rPr>
        <w:t>Each report made by someone other than a mandatory reporter may be oral or written.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176.5(2)</w:t>
      </w:r>
      <w:r>
        <w:rPr>
          <w:rFonts w:ascii="Times New Roman" w:hAnsi="Times New Roman"/>
          <w:b w:val="false"/>
          <w:i w:val="false"/>
          <w:color w:val="000000"/>
          <w:sz w:val="22"/>
        </w:rPr>
        <w:t> </w:t>
      </w:r>
      <w:r>
        <w:rPr>
          <w:rFonts w:ascii="Times New Roman" w:hAnsi="Times New Roman"/>
          <w:b w:val="false"/>
          <w:i w:val="false"/>
          <w:color w:val="000000"/>
          <w:sz w:val="22"/>
        </w:rPr>
        <w:t>The report shall be made by telephone or otherwise to the department. When the person making the report has reason to believe that immediate protection for the dependent adult is advisable, that person will be asked to also make an oral report to an appropriate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176.5(3)</w:t>
      </w:r>
      <w:r>
        <w:rPr>
          <w:rFonts w:ascii="Times New Roman" w:hAnsi="Times New Roman"/>
          <w:b w:val="false"/>
          <w:i w:val="false"/>
          <w:color w:val="000000"/>
          <w:sz w:val="22"/>
        </w:rPr>
        <w:t> </w:t>
      </w:r>
      <w:r>
        <w:rPr>
          <w:rFonts w:ascii="Times New Roman" w:hAnsi="Times New Roman"/>
          <w:b w:val="false"/>
          <w:i w:val="false"/>
          <w:color w:val="000000"/>
          <w:sz w:val="22"/>
        </w:rPr>
        <w:t>The department shall provide electronic access to all reports alleging dependent adult abuse to the appropriate county attorney.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176.5(4)</w:t>
      </w:r>
      <w:r>
        <w:rPr>
          <w:rFonts w:ascii="Times New Roman" w:hAnsi="Times New Roman"/>
          <w:b w:val="false"/>
          <w:i w:val="false"/>
          <w:color w:val="000000"/>
          <w:sz w:val="22"/>
        </w:rPr>
        <w:t> </w:t>
      </w:r>
      <w:r>
        <w:rPr>
          <w:rFonts w:ascii="Times New Roman" w:hAnsi="Times New Roman"/>
          <w:b w:val="false"/>
          <w:i w:val="false"/>
          <w:color w:val="000000"/>
          <w:sz w:val="22"/>
        </w:rPr>
        <w:t>The report may contain the following information, or as much thereof as the person making the report is able to furnish: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names and home addresses of the dependent adult, appropriate relatives, caretakers, and other persons believed to be responsible for the care of the dependent adult.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dependent adult’s present whereabouts if not the same as the address given.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reason the adult is believed to be dependent. Dependency is the first criterion to be considered before beginning an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dependent adult’s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nature and extent of the dependent adult abuse, including evidence of previous dependent adult abuse. The existence of alleged dependent adult abuse is the second criterion to be considered before beginning an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Information concerning suspected dependent adult abuse of other dependent adults in the same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Other information which the person making the report believes might be helpful in establishing the cause of the abuse or the identity of the person or persons responsible for the abuse, or helpful in providing assistance to the dependent adult.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making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176.5(5)</w:t>
      </w:r>
      <w:r>
        <w:rPr>
          <w:rFonts w:ascii="Times New Roman" w:hAnsi="Times New Roman"/>
          <w:b w:val="false"/>
          <w:i w:val="false"/>
          <w:color w:val="000000"/>
          <w:sz w:val="22"/>
        </w:rPr>
        <w:t> </w:t>
      </w:r>
      <w:r>
        <w:rPr>
          <w:rFonts w:ascii="Times New Roman" w:hAnsi="Times New Roman"/>
          <w:b w:val="false"/>
          <w:i w:val="false"/>
          <w:color w:val="000000"/>
          <w:sz w:val="22"/>
        </w:rPr>
        <w:t>A report will be received whether or not it contains all of the information requested in subrule </w:t>
      </w:r>
      <w:hyperlink r:id="rId28">
        <w:r>
          <w:rPr>
            <w:rStyle w:val="Hyperlink"/>
            <w:rFonts w:ascii="Times New Roman" w:hAnsi="Times New Roman"/>
            <w:b w:val="false"/>
            <w:i w:val="false"/>
            <w:color w:val="000000"/>
            <w:sz w:val="22"/>
          </w:rPr>
          <w:t>176.5(4)</w:t>
        </w:r>
      </w:hyperlink>
      <w:r>
        <w:rPr>
          <w:rFonts w:ascii="Times New Roman" w:hAnsi="Times New Roman"/>
          <w:b w:val="false"/>
          <w:i w:val="false"/>
          <w:color w:val="000000"/>
          <w:sz w:val="22"/>
        </w:rPr>
        <w:t>, and may be made to the department, county attorney, or law enforcement agency. When the report is made to any agency other than the department, that agency shall promptly refer the report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6966C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441—176.6</w:t>
      </w:r>
      <w:r>
        <w:rPr>
          <w:rFonts w:ascii="Times New Roman" w:hAnsi="Times New Roman"/>
          <w:b/>
          <w:i w:val="false"/>
          <w:color w:val="000000"/>
          <w:sz w:val="22"/>
        </w:rPr>
        <w:t xml:space="preserve">(235B) </w:t>
      </w:r>
      <w:r>
        <w:rPr>
          <w:rFonts w:ascii="Times New Roman" w:hAnsi="Times New Roman"/>
          <w:b/>
          <w:i w:val="false"/>
          <w:color w:val="000000"/>
          <w:sz w:val="22"/>
        </w:rPr>
        <w:t xml:space="preserve">Duties of the department upon receipt of report.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176.6(1)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report is received and meets the criteria pursuant to Iowa Code section </w:t>
      </w:r>
      <w:hyperlink r:id="rId29">
        <w:r>
          <w:rPr>
            <w:rStyle w:val="Hyperlink"/>
            <w:rFonts w:ascii="Times New Roman" w:hAnsi="Times New Roman"/>
            <w:b w:val="false"/>
            <w:i w:val="false"/>
            <w:color w:val="000000"/>
            <w:sz w:val="22"/>
          </w:rPr>
          <w:t>235B.2(5)</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department shall promptly commence an appropriate evaluation or assessment, except that the department of inspections and appeals is responsible for the evaluation and disposition of a case of dependent adult abuse in a health care facility pursuant to Iowa Code chapter </w:t>
      </w:r>
      <w:hyperlink r:id="rId30">
        <w:r>
          <w:rPr>
            <w:rStyle w:val="Hyperlink"/>
            <w:rFonts w:ascii="Times New Roman" w:hAnsi="Times New Roman"/>
            <w:b w:val="false"/>
            <w:i w:val="false"/>
            <w:color w:val="000000"/>
            <w:sz w:val="22"/>
          </w:rPr>
          <w:t>235E</w:t>
        </w:r>
      </w:hyperlink>
      <w:r>
        <w:rPr>
          <w:rFonts w:ascii="Times New Roman" w:hAnsi="Times New Roman"/>
          <w:b w:val="false"/>
          <w:i w:val="false"/>
          <w:color w:val="000000"/>
          <w:sz w:val="22"/>
        </w:rPr>
        <w:t xml:space="preserve">, including hospitals as defined in Iowa Code section </w:t>
      </w:r>
      <w:hyperlink r:id="rId31">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 xml:space="preserve"> and facilities as defined in Iowa Code section </w:t>
      </w:r>
      <w:hyperlink r:id="rId32">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xml:space="preserve">. The department shall forward all reports and other information concerning dependent adult abuse in a health care facility to the department of inspections and appeals on the first working day following the submitting of the report. The department of inspections and appeals shall inform the registry of all actions taken or contemplated concerning the evaluation or disposition of a case of dependent adult abuse in a health care facility.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176.6(2)</w:t>
      </w:r>
      <w:r>
        <w:rPr>
          <w:rFonts w:ascii="Times New Roman" w:hAnsi="Times New Roman"/>
          <w:b w:val="false"/>
          <w:i w:val="false"/>
          <w:color w:val="000000"/>
          <w:sz w:val="22"/>
        </w:rPr>
        <w:t> </w:t>
      </w:r>
      <w:r>
        <w:rPr>
          <w:rFonts w:ascii="Times New Roman" w:hAnsi="Times New Roman"/>
          <w:b w:val="false"/>
          <w:i w:val="false"/>
          <w:color w:val="000000"/>
          <w:sz w:val="22"/>
        </w:rPr>
        <w:t>The evaluation or assessment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Identification of the nature, extent, and cause of the dependent adult abuse, if any, to the dependent adult named in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identification of the person or persons responsible for the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determination of whether other dependent adults in the same residence have been subjected to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critical examination of the residential environment of the dependent adult named in the report, and the dependent adult’s relationship with caretakers and other adults in the same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critical explanation of all other pertinent matters.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176.6(3)</w:t>
      </w:r>
      <w:r>
        <w:rPr>
          <w:rFonts w:ascii="Times New Roman" w:hAnsi="Times New Roman"/>
          <w:b w:val="false"/>
          <w:i w:val="false"/>
          <w:color w:val="000000"/>
          <w:sz w:val="22"/>
        </w:rPr>
        <w:t> </w:t>
      </w:r>
      <w:r>
        <w:rPr>
          <w:rFonts w:ascii="Times New Roman" w:hAnsi="Times New Roman"/>
          <w:b w:val="false"/>
          <w:i w:val="false"/>
          <w:color w:val="000000"/>
          <w:sz w:val="22"/>
        </w:rPr>
        <w:t>The evaluation or assessment, with the consent of the dependent adult or caretaker, when appropriate, may include a visit to the residence of the dependent adult named in the report and an examination of the dependent adult. If permission to enter the residence and to examine the dependent adult is refused, the district court, upon a showing of probable cause that a dependent adult has been abused, may authorize a person, authorized by the department, to make an evaluation or assessment, to enter the residence of, and to examine the dependent adult.</w:t>
      </w:r>
    </w:p>
    <w:p>
      <w:pPr>
        <w:spacing w:before="0" w:after="0"/>
        <w:ind w:left="120"/>
        <w:jc w:val="both"/>
      </w:pPr>
      <w:r>
        <w:rPr>
          <w:rFonts w:ascii="Times New Roman" w:hAnsi="Times New Roman"/>
          <w:b w:val="false"/>
          <w:i w:val="false"/>
          <w:color w:val="000000"/>
          <w:sz w:val="22"/>
        </w:rPr>
        <w:t>Upon a showing of probable cause that a dependent adult has been financially exploited, a court may authorize a person, also authorized by the department, to gain access to the financial records of the dependent adult.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176.6(4)</w:t>
      </w:r>
      <w:r>
        <w:rPr>
          <w:rFonts w:ascii="Times New Roman" w:hAnsi="Times New Roman"/>
          <w:b w:val="false"/>
          <w:i w:val="false"/>
          <w:color w:val="000000"/>
          <w:sz w:val="22"/>
        </w:rPr>
        <w:t> </w:t>
      </w:r>
      <w:r>
        <w:rPr>
          <w:rFonts w:ascii="Times New Roman" w:hAnsi="Times New Roman"/>
          <w:b w:val="false"/>
          <w:i w:val="false"/>
          <w:color w:val="000000"/>
          <w:sz w:val="22"/>
        </w:rPr>
        <w:t>Completion of evaluation or assessment report. Upon completion of its evaluation or assessment, the department shall complete a report that describes its findings and includes all actions taken or contemplated.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complete its report within 20 business days of the receipt of the abuse allegations, unless the worker’s supervisor grants an extension of time for good cause. The worker’s supervisor may grant an extension for a maximum of 30 business days. No more than three extensions shall be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completion of an assessment or evaluation, the department shall enter its report into the dependent adult reporting and evaluation system (DARES).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176.6(5)</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 to county attorney. The department shall provide electronic access to the complete evaluation or assessment to the appropriate county attorney.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176.6(6)</w:t>
      </w:r>
      <w:r>
        <w:rPr>
          <w:rFonts w:ascii="Times New Roman" w:hAnsi="Times New Roman"/>
          <w:b w:val="false"/>
          <w:i w:val="false"/>
          <w:color w:val="000000"/>
          <w:sz w:val="22"/>
        </w:rPr>
        <w:t> </w:t>
      </w:r>
      <w:r>
        <w:rPr>
          <w:rFonts w:ascii="Times New Roman" w:hAnsi="Times New Roman"/>
          <w:b w:val="false"/>
          <w:i w:val="false"/>
          <w:color w:val="000000"/>
          <w:sz w:val="22"/>
        </w:rPr>
        <w:t>Based on the evaluation, the department shall complete an assessment of services needed by a dependent adult believed to be the victim of abuse, the dependent adult’s family, or a caretaker. The department shall explain that the department does not have independent legal authority to compel the acceptance of protective services. Upon voluntary acceptance of the offer of services, the department shall make referrals or may provide necessary protective services to eligible dependent adults, their family members, and caretakers.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176.6(7)</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of licensing authority. Based on information discovered during an evaluation of dependent adult abuse in a program providing care to a dependent adult as authorized pursuant to Iowa Code section </w:t>
      </w:r>
      <w:hyperlink r:id="rId33">
        <w:r>
          <w:rPr>
            <w:rStyle w:val="Hyperlink"/>
            <w:rFonts w:ascii="Times New Roman" w:hAnsi="Times New Roman"/>
            <w:b w:val="false"/>
            <w:i w:val="false"/>
            <w:color w:val="000000"/>
            <w:sz w:val="22"/>
          </w:rPr>
          <w:t>235B.6(2)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for the purpose of assuring safety and mitigating risk to dependent adults, the department shall notify the licensing or accrediting authority for the program, the governing body of the program, and the administrator in charge of the program of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violation of program policy noted in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instance in which program policy or lack of program policy may have contributed to the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instance in which general practice in the program appears to differ from the program’s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176.6(8)</w:t>
      </w:r>
      <w:r>
        <w:rPr>
          <w:rFonts w:ascii="Times New Roman" w:hAnsi="Times New Roman"/>
          <w:b w:val="false"/>
          <w:i w:val="false"/>
          <w:color w:val="000000"/>
          <w:sz w:val="22"/>
        </w:rPr>
        <w:t> </w:t>
      </w:r>
      <w:r>
        <w:rPr>
          <w:rFonts w:ascii="Times New Roman" w:hAnsi="Times New Roman"/>
          <w:b w:val="false"/>
          <w:i w:val="false"/>
          <w:color w:val="000000"/>
          <w:sz w:val="22"/>
        </w:rPr>
        <w:t>Services by other agencies. The department may approve agencies considered capable and appropriate to provide services during the course of an assessment or evaluation to dependent adults who are suspected of being abused or neglected.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make a referral to an approved agency to provide services to a dependent adult who is suspected of being abused or neglected, in conjunction with a department abuse evaluation or assessment on the dependent adult.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use information obtained during services provided by the approved agency in the abuse evaluation or assessment. The department has complete authority in determining the conclusions of the abuse evaluation or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176.6(9)</w:t>
      </w:r>
      <w:r>
        <w:rPr>
          <w:rFonts w:ascii="Times New Roman" w:hAnsi="Times New Roman"/>
          <w:b w:val="false"/>
          <w:i w:val="false"/>
          <w:color w:val="000000"/>
          <w:sz w:val="22"/>
        </w:rPr>
        <w:t> </w:t>
      </w:r>
      <w:r>
        <w:rPr>
          <w:rFonts w:ascii="Times New Roman" w:hAnsi="Times New Roman"/>
          <w:b w:val="false"/>
          <w:i w:val="false"/>
          <w:color w:val="000000"/>
          <w:sz w:val="22"/>
        </w:rPr>
        <w:t xml:space="preserve">Assessment of dependency and risk. During a dependent adult abuse assessment or evaluation, the department shall complete an assessment of the adult pursuant to Iowa Code section </w:t>
      </w:r>
      <w:hyperlink r:id="rId34">
        <w:r>
          <w:rPr>
            <w:rStyle w:val="Hyperlink"/>
            <w:rFonts w:ascii="Times New Roman" w:hAnsi="Times New Roman"/>
            <w:b w:val="false"/>
            <w:i w:val="false"/>
            <w:color w:val="000000"/>
            <w:sz w:val="22"/>
          </w:rPr>
          <w:t>235B.16A(2)</w:t>
        </w:r>
      </w:hyperlink>
      <w:r>
        <w:rPr>
          <w:rFonts w:ascii="Times New Roman" w:hAnsi="Times New Roman"/>
          <w:b w:val="false"/>
          <w:i w:val="false"/>
          <w:color w:val="000000"/>
          <w:sz w:val="22"/>
        </w:rPr>
        <w:t>. The department shall assess: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adult’s dependency,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risk to the adult’s health or safety,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areas in which the adult is either dependent or independent.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176.6(10)</w:t>
      </w:r>
      <w:r>
        <w:rPr>
          <w:rFonts w:ascii="Times New Roman" w:hAnsi="Times New Roman"/>
          <w:b w:val="false"/>
          <w:i w:val="false"/>
          <w:color w:val="000000"/>
          <w:sz w:val="22"/>
        </w:rPr>
        <w:t> </w:t>
      </w:r>
      <w:r>
        <w:rPr>
          <w:rFonts w:ascii="Times New Roman" w:hAnsi="Times New Roman"/>
          <w:b w:val="false"/>
          <w:i w:val="false"/>
          <w:color w:val="000000"/>
          <w:sz w:val="22"/>
        </w:rPr>
        <w:t>Follow-up for at-risk adults. When it has not been possible or necessary to obtain a court order for services to an at-risk adult, the department shall attempt to empower the at-risk adult to agree to accept services and to participate in preparing a safety plan. If the adult refuses to sign a safety plan for an at-risk adult and to accept recommended services, the department shall provide periodic visits at the conclusion of the assessment or evaluation. Periodic visits will be conducted with the at-risk adult. The department has no authority to share information or obtain information with any other individuals during the course of periodic visits. Periodic visits should not be used as a means to continue gathering assessment or evaluation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the visits shall be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Assess the adult for increased risk or impairment,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Monitor the adult’s situation to determine the feasibility of intervening with protective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Empower the adult to accept recommended services and to engage in safety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Exemption. </w:t>
      </w:r>
      <w:r>
        <w:rPr>
          <w:rFonts w:ascii="Times New Roman" w:hAnsi="Times New Roman"/>
          <w:b w:val="false"/>
          <w:i w:val="false"/>
          <w:color w:val="000000"/>
          <w:sz w:val="22"/>
        </w:rPr>
        <w:t>If it has been determined there is a physical threat to the safety of the department employee who is attempting to visit an at-risk adult, the department shall not attempt a periodic visit unless the physical threat to safety has been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Criteria to continue visits. </w:t>
      </w:r>
      <w:r>
        <w:rPr>
          <w:rFonts w:ascii="Times New Roman" w:hAnsi="Times New Roman"/>
          <w:b w:val="false"/>
          <w:i w:val="false"/>
          <w:color w:val="000000"/>
          <w:sz w:val="22"/>
        </w:rPr>
        <w:t>Periodic visits shall continue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adult’s health or safety has deteriorated somewhat but not to the point that a court order is necessary;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adult’s health or safety has remained the same and there is a possibility the adult may in the future agree to services and to participating in preparing a safety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Criteria to end visits. </w:t>
      </w:r>
      <w:r>
        <w:rPr>
          <w:rFonts w:ascii="Times New Roman" w:hAnsi="Times New Roman"/>
          <w:b w:val="false"/>
          <w:i w:val="false"/>
          <w:color w:val="000000"/>
          <w:sz w:val="22"/>
        </w:rPr>
        <w:t>Periodic visits shall be terminated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adult agrees to services and services are arranged;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adult’s health or safety has deteriorated to the point that the department has requested court action;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adult’s health or safety has not changed six months after the initial report of alleged abuse, there appears no possibility the adult will ever agree to services, and the adult has the capacity to make decisions.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9258B</w:t>
      </w:r>
      <w:r>
        <w:rPr>
          <w:rFonts w:ascii="Times New Roman" w:hAnsi="Times New Roman"/>
          <w:b w:val="false"/>
          <w:i w:val="false"/>
          <w:color w:val="000000"/>
          <w:sz w:val="16"/>
        </w:rPr>
        <w:t>, IAB 12/1/10, effective 2/1/11</w:t>
      </w:r>
      <w:r>
        <w:rPr>
          <w:rFonts w:ascii="Times New Roman" w:hAnsi="Times New Roman"/>
          <w:b w:val="false"/>
          <w:i w:val="false"/>
          <w:color w:val="000000"/>
          <w:sz w:val="16"/>
        </w:rPr>
        <w:t xml:space="preserve">; </w:t>
      </w:r>
      <w:r>
        <w:rPr>
          <w:rFonts w:ascii="Times New Roman" w:hAnsi="Times New Roman"/>
          <w:b/>
          <w:i w:val="false"/>
          <w:color w:val="000000"/>
          <w:sz w:val="16"/>
        </w:rPr>
        <w:t>ARC 4393C</w:t>
      </w:r>
      <w:r>
        <w:rPr>
          <w:rFonts w:ascii="Times New Roman" w:hAnsi="Times New Roman"/>
          <w:b w:val="false"/>
          <w:i w:val="false"/>
          <w:color w:val="000000"/>
          <w:sz w:val="16"/>
        </w:rPr>
        <w:t>, IAB 4/10/19, effective 6/1/19</w:t>
      </w:r>
      <w:r>
        <w:rPr>
          <w:rFonts w:ascii="Times New Roman" w:hAnsi="Times New Roman"/>
          <w:b w:val="false"/>
          <w:i w:val="false"/>
          <w:color w:val="000000"/>
          <w:sz w:val="16"/>
        </w:rPr>
        <w:t xml:space="preserve">; </w:t>
      </w:r>
      <w:r>
        <w:rPr>
          <w:rFonts w:ascii="Times New Roman" w:hAnsi="Times New Roman"/>
          <w:b/>
          <w:i w:val="false"/>
          <w:color w:val="000000"/>
          <w:sz w:val="16"/>
        </w:rPr>
        <w:t>ARC 6966C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441—176.7</w:t>
      </w:r>
      <w:r>
        <w:rPr>
          <w:rFonts w:ascii="Times New Roman" w:hAnsi="Times New Roman"/>
          <w:b/>
          <w:i w:val="false"/>
          <w:color w:val="000000"/>
          <w:sz w:val="22"/>
        </w:rPr>
        <w:t xml:space="preserve">(235B) </w:t>
      </w:r>
      <w:r>
        <w:rPr>
          <w:rFonts w:ascii="Times New Roman" w:hAnsi="Times New Roman"/>
          <w:b/>
          <w:i w:val="false"/>
          <w:color w:val="000000"/>
          <w:sz w:val="22"/>
        </w:rPr>
        <w:t xml:space="preserve">Appropriate evaluation or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176.7(1)</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receipt of a report alleging dependent adult abuse which meets criteria as outlined in </w:t>
      </w:r>
      <w:hyperlink r:id="rId35">
        <w:r>
          <w:rPr>
            <w:rStyle w:val="Hyperlink"/>
            <w:rFonts w:ascii="Times New Roman" w:hAnsi="Times New Roman"/>
            <w:b w:val="false"/>
            <w:i w:val="false"/>
            <w:color w:val="000000"/>
            <w:sz w:val="22"/>
          </w:rPr>
          <w:t>subrule 176.3(1)</w:t>
        </w:r>
      </w:hyperlink>
      <w:r>
        <w:rPr>
          <w:rFonts w:ascii="Times New Roman" w:hAnsi="Times New Roman"/>
          <w:b w:val="false"/>
          <w:i w:val="false"/>
          <w:color w:val="000000"/>
          <w:sz w:val="22"/>
        </w:rPr>
        <w:t xml:space="preserve">, a dependent adult abuse evaluation or assessment will be initiated and will be assigned to an adult protection worker. The adult protection worker will make an effort to observe and examine the dependent adult as authorized by </w:t>
      </w:r>
      <w:hyperlink r:id="rId36">
        <w:r>
          <w:rPr>
            <w:rStyle w:val="Hyperlink"/>
            <w:rFonts w:ascii="Times New Roman" w:hAnsi="Times New Roman"/>
            <w:b w:val="false"/>
            <w:i w:val="false"/>
            <w:color w:val="000000"/>
            <w:sz w:val="22"/>
          </w:rPr>
          <w:t>subrule 176.6(3)</w:t>
        </w:r>
      </w:hyperlink>
      <w:r>
        <w:rPr>
          <w:rFonts w:ascii="Times New Roman" w:hAnsi="Times New Roman"/>
          <w:b w:val="false"/>
          <w:i w:val="false"/>
          <w:color w:val="000000"/>
          <w:sz w:val="22"/>
        </w:rPr>
        <w:t xml:space="preserve"> and evaluate the dependent adult’s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cases where there is information that the alleged perpetrator has access to the adult subject, reasonable efforts shall be made to observe the adult subject and evaluate the adult subject’s safety within 24 hours of commencing the assessment of the report alleging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cases where there is information that the alleged perpetrator clearly has no access to the adult subject, or for cases where services are in place to mitigate any safety concerns, reasonable efforts shall be made to observe the adult subject and evaluate the adult subject’s safety within 72 hours of commencing the assessment of the report alleging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reasonable efforts have been made to observe the adult subject within the specified time frames and the worker has established that there is no need to observe and no risk to the adult subject, the observation of the adult subject may be delayed or waived with supervisory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176.7(2)</w:t>
      </w:r>
      <w:r>
        <w:rPr>
          <w:rFonts w:ascii="Times New Roman" w:hAnsi="Times New Roman"/>
          <w:b w:val="false"/>
          <w:i w:val="false"/>
          <w:color w:val="000000"/>
          <w:sz w:val="22"/>
        </w:rPr>
        <w:t> </w:t>
      </w:r>
      <w:r>
        <w:rPr>
          <w:rFonts w:ascii="Times New Roman" w:hAnsi="Times New Roman"/>
          <w:b w:val="false"/>
          <w:i w:val="false"/>
          <w:color w:val="000000"/>
          <w:sz w:val="22"/>
        </w:rPr>
        <w:t>After receipt of the report alleging dependent adult abuse, the adult protection worker shall conduct an evaluation or assessment to determine whether the information as reported, other known information, and any information gathered as a result of the worker’s contact with collateral sources or other collateral contacts would tend to corroborate the alleged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176.7(3)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the information gathered in the evaluation or assessment fails to corroborate the allegation of dependent adult abuse as defined in Iowa Code section </w:t>
      </w:r>
      <w:hyperlink r:id="rId37">
        <w:r>
          <w:rPr>
            <w:rStyle w:val="Hyperlink"/>
            <w:rFonts w:ascii="Times New Roman" w:hAnsi="Times New Roman"/>
            <w:b w:val="false"/>
            <w:i w:val="false"/>
            <w:color w:val="000000"/>
            <w:sz w:val="22"/>
          </w:rPr>
          <w:t>235B.2(5)</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worker, with approval of the supervisor, may terminate the evaluation or assessment and submit the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6966C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441—176.8</w:t>
      </w:r>
      <w:r>
        <w:rPr>
          <w:rFonts w:ascii="Times New Roman" w:hAnsi="Times New Roman"/>
          <w:b/>
          <w:i w:val="false"/>
          <w:color w:val="000000"/>
          <w:sz w:val="22"/>
        </w:rPr>
        <w:t xml:space="preserve">(235B) </w:t>
      </w:r>
      <w:r>
        <w:rPr>
          <w:rFonts w:ascii="Times New Roman" w:hAnsi="Times New Roman"/>
          <w:b/>
          <w:i w:val="false"/>
          <w:color w:val="000000"/>
          <w:sz w:val="22"/>
        </w:rPr>
        <w:t xml:space="preserve">Registry records. </w:t>
      </w:r>
      <w:r>
        <w:rPr>
          <w:rFonts w:ascii="Times New Roman" w:hAnsi="Times New Roman"/>
          <w:b w:val="false"/>
          <w:i w:val="false"/>
          <w:color w:val="000000"/>
          <w:sz w:val="22"/>
        </w:rPr>
        <w:t>Central registry records shall be kept in the name of the dependent adult and cross-referenced in the name of the alleged person responsible (if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6966C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441—176.9</w:t>
      </w:r>
      <w:r>
        <w:rPr>
          <w:rFonts w:ascii="Times New Roman" w:hAnsi="Times New Roman"/>
          <w:b/>
          <w:i w:val="false"/>
          <w:color w:val="000000"/>
          <w:sz w:val="22"/>
        </w:rPr>
        <w:t xml:space="preserve">(235B) </w:t>
      </w:r>
      <w:r>
        <w:rPr>
          <w:rFonts w:ascii="Times New Roman" w:hAnsi="Times New Roman"/>
          <w:b/>
          <w:i w:val="false"/>
          <w:color w:val="000000"/>
          <w:sz w:val="22"/>
        </w:rPr>
        <w:t xml:space="preserve">Dependent adult abuse information disseminated.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176.9(1)</w:t>
      </w:r>
      <w:r>
        <w:rPr>
          <w:rFonts w:ascii="Times New Roman" w:hAnsi="Times New Roman"/>
          <w:b w:val="false"/>
          <w:i w:val="false"/>
          <w:color w:val="000000"/>
          <w:sz w:val="22"/>
        </w:rPr>
        <w:t> </w:t>
      </w:r>
      <w:r>
        <w:rPr>
          <w:rFonts w:ascii="Times New Roman" w:hAnsi="Times New Roman"/>
          <w:b w:val="false"/>
          <w:i/>
          <w:color w:val="000000"/>
          <w:sz w:val="22"/>
        </w:rPr>
        <w:t xml:space="preserve">Requests for information. </w:t>
      </w:r>
      <w:r>
        <w:rPr>
          <w:rFonts w:ascii="Times New Roman" w:hAnsi="Times New Roman"/>
          <w:b w:val="false"/>
          <w:i w:val="false"/>
          <w:color w:val="000000"/>
          <w:sz w:val="22"/>
        </w:rPr>
        <w:t>Written requests for dependent adult abuse information by the subject of a report may be submitted to the county office of the department on the department-prescribed Form 470-0643 or 470-2444.</w:t>
      </w:r>
    </w:p>
    <w:p>
      <w:pPr>
        <w:spacing w:before="0" w:after="0"/>
        <w:ind w:left="120"/>
        <w:jc w:val="both"/>
      </w:pPr>
      <w:r>
        <w:rPr>
          <w:rFonts w:ascii="Times New Roman" w:hAnsi="Times New Roman"/>
          <w:b w:val="false"/>
          <w:i w:val="false"/>
          <w:color w:val="000000"/>
          <w:sz w:val="22"/>
        </w:rPr>
        <w:t xml:space="preserve">Oral requests for dependent adult abuse information may be made to the county office or the central registry when the person making the request believes that the information is needed immediately and the person is authorized to access the information, pursuant to the requirements of Iowa Code section </w:t>
      </w:r>
      <w:hyperlink r:id="rId38">
        <w:r>
          <w:rPr>
            <w:rStyle w:val="Hyperlink"/>
            <w:rFonts w:ascii="Times New Roman" w:hAnsi="Times New Roman"/>
            <w:b w:val="false"/>
            <w:i w:val="false"/>
            <w:color w:val="000000"/>
            <w:sz w:val="22"/>
          </w:rPr>
          <w:t>235B.7(2)</w:t>
        </w:r>
      </w:hyperlink>
      <w:r>
        <w:rPr>
          <w:rFonts w:ascii="Times New Roman" w:hAnsi="Times New Roman"/>
          <w:b w:val="false"/>
          <w:i w:val="false"/>
          <w:color w:val="000000"/>
          <w:sz w:val="22"/>
        </w:rPr>
        <w:t>. If a request is made orally by telephone, a written request shall be filed within 72 hours of the oral request on the department-prescribed Form 470-0643. When an oral request to the county office to obtain dependent adult abuse information is granted by the central registry, the county shall document the approval to the central registry on the department-prescribed Form 470-0643.</w:t>
      </w:r>
    </w:p>
    <w:p>
      <w:pPr>
        <w:spacing w:before="0" w:after="0"/>
        <w:ind w:left="120"/>
        <w:jc w:val="both"/>
      </w:pPr>
      <w:r>
        <w:rPr>
          <w:rFonts w:ascii="Times New Roman" w:hAnsi="Times New Roman"/>
          <w:b w:val="false"/>
          <w:i w:val="false"/>
          <w:color w:val="000000"/>
          <w:sz w:val="22"/>
        </w:rPr>
        <w:t xml:space="preserve">All other requests for information shall be made to the central registry by mail or fax pursuant to the requirements of Iowa Code section </w:t>
      </w:r>
      <w:hyperlink r:id="rId39">
        <w:r>
          <w:rPr>
            <w:rStyle w:val="Hyperlink"/>
            <w:rFonts w:ascii="Times New Roman" w:hAnsi="Times New Roman"/>
            <w:b w:val="false"/>
            <w:i w:val="false"/>
            <w:color w:val="000000"/>
            <w:sz w:val="22"/>
          </w:rPr>
          <w:t>235B.7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176.9(2)</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identity. </w:t>
      </w:r>
      <w:r>
        <w:rPr>
          <w:rFonts w:ascii="Times New Roman" w:hAnsi="Times New Roman"/>
          <w:b w:val="false"/>
          <w:i w:val="false"/>
          <w:color w:val="000000"/>
          <w:sz w:val="22"/>
        </w:rPr>
        <w:t>The county office shall verify the identity of the person making the request on the department-prescribed Form 470-0643. Upon verification of the identity of the person making the request, the county office shall transmit the request to the central registry. The central registry shall verify the identity of persons making requests for information directly to the central registry by telephone, mail, or fax, or in person, on the department-prescribed Form 470-0643.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176.9(3)</w:t>
      </w:r>
      <w:r>
        <w:rPr>
          <w:rFonts w:ascii="Times New Roman" w:hAnsi="Times New Roman"/>
          <w:b w:val="false"/>
          <w:i w:val="false"/>
          <w:color w:val="000000"/>
          <w:sz w:val="22"/>
        </w:rPr>
        <w:t> </w:t>
      </w:r>
      <w:r>
        <w:rPr>
          <w:rFonts w:ascii="Times New Roman" w:hAnsi="Times New Roman"/>
          <w:b w:val="false"/>
          <w:i/>
          <w:color w:val="000000"/>
          <w:sz w:val="22"/>
        </w:rPr>
        <w:t xml:space="preserve">Approval of requests. </w:t>
      </w:r>
      <w:r>
        <w:rPr>
          <w:rFonts w:ascii="Times New Roman" w:hAnsi="Times New Roman"/>
          <w:b w:val="false"/>
          <w:i w:val="false"/>
          <w:color w:val="000000"/>
          <w:sz w:val="22"/>
        </w:rPr>
        <w:t xml:space="preserve">The department shall grant access to dependent adult abuse information as authorized by Iowa Code section </w:t>
      </w:r>
      <w:hyperlink r:id="rId40">
        <w:r>
          <w:rPr>
            <w:rStyle w:val="Hyperlink"/>
            <w:rFonts w:ascii="Times New Roman" w:hAnsi="Times New Roman"/>
            <w:b w:val="false"/>
            <w:i w:val="false"/>
            <w:color w:val="000000"/>
            <w:sz w:val="22"/>
          </w:rPr>
          <w:t>235B.6</w:t>
        </w:r>
      </w:hyperlink>
      <w:r>
        <w:rPr>
          <w:rFonts w:ascii="Times New Roman" w:hAnsi="Times New Roman"/>
          <w:b w:val="false"/>
          <w:i w:val="false"/>
          <w:color w:val="000000"/>
          <w:sz w:val="22"/>
        </w:rPr>
        <w:t xml:space="preserve">. Upon approval of any request for dependent adult abuse information authorized by this rule, the department may withhold the name of the person who made the report of dependent adult abuse pursuant to Iowa Code section </w:t>
      </w:r>
      <w:hyperlink r:id="rId41">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176.9(4)</w:t>
      </w:r>
      <w:r>
        <w:rPr>
          <w:rFonts w:ascii="Times New Roman" w:hAnsi="Times New Roman"/>
          <w:b w:val="false"/>
          <w:i w:val="false"/>
          <w:color w:val="000000"/>
          <w:sz w:val="22"/>
        </w:rPr>
        <w:t> </w:t>
      </w:r>
      <w:r>
        <w:rPr>
          <w:rFonts w:ascii="Times New Roman" w:hAnsi="Times New Roman"/>
          <w:b w:val="false"/>
          <w:i/>
          <w:color w:val="000000"/>
          <w:sz w:val="22"/>
        </w:rPr>
        <w:t xml:space="preserve">Requests concerning applicants for employment and employees of health care programs. </w:t>
      </w:r>
      <w:r>
        <w:rPr>
          <w:rFonts w:ascii="Times New Roman" w:hAnsi="Times New Roman"/>
          <w:b w:val="false"/>
          <w:i w:val="false"/>
          <w:color w:val="000000"/>
          <w:sz w:val="22"/>
        </w:rPr>
        <w:t xml:space="preserve">A health care program making a request for dependent adult abuse information for the purpose of determining employability, as authorized by Iowa Code section </w:t>
      </w:r>
      <w:hyperlink r:id="rId42">
        <w:r>
          <w:rPr>
            <w:rStyle w:val="Hyperlink"/>
            <w:rFonts w:ascii="Times New Roman" w:hAnsi="Times New Roman"/>
            <w:b w:val="false"/>
            <w:i w:val="false"/>
            <w:color w:val="000000"/>
            <w:sz w:val="22"/>
          </w:rPr>
          <w:t>235B.6(2)</w:t>
        </w:r>
      </w:hyperlink>
      <w:r>
        <w:rPr>
          <w:rFonts w:ascii="Times New Roman" w:hAnsi="Times New Roman"/>
          <w:b w:val="false"/>
          <w:i/>
          <w:color w:val="000000"/>
          <w:sz w:val="22"/>
        </w:rPr>
        <w:t>“e”</w:t>
      </w:r>
      <w:r>
        <w:rPr>
          <w:rFonts w:ascii="Times New Roman" w:hAnsi="Times New Roman"/>
          <w:b w:val="false"/>
          <w:i w:val="false"/>
          <w:color w:val="000000"/>
          <w:sz w:val="22"/>
        </w:rPr>
        <w:t xml:space="preserve">(6) and (7) and section </w:t>
      </w:r>
      <w:hyperlink r:id="rId43">
        <w:r>
          <w:rPr>
            <w:rStyle w:val="Hyperlink"/>
            <w:rFonts w:ascii="Times New Roman" w:hAnsi="Times New Roman"/>
            <w:b w:val="false"/>
            <w:i w:val="false"/>
            <w:color w:val="000000"/>
            <w:sz w:val="22"/>
          </w:rPr>
          <w:t>135C.33(6)</w:t>
        </w:r>
      </w:hyperlink>
      <w:r>
        <w:rPr>
          <w:rFonts w:ascii="Times New Roman" w:hAnsi="Times New Roman"/>
          <w:b w:val="false"/>
          <w:i w:val="false"/>
          <w:color w:val="000000"/>
          <w:sz w:val="22"/>
        </w:rPr>
        <w:t>, shall request the information directly from the central registry or obtain the information from the single contact repository (SING).</w:t>
      </w:r>
    </w:p>
    <w:p>
      <w:pPr>
        <w:spacing w:before="0" w:after="0"/>
        <w:ind w:left="120"/>
        <w:jc w:val="both"/>
      </w:pPr>
      <w:r>
        <w:rPr>
          <w:rFonts w:ascii="Times New Roman" w:hAnsi="Times New Roman"/>
          <w:b w:val="false"/>
          <w:i w:val="false"/>
          <w:color w:val="000000"/>
          <w:sz w:val="22"/>
        </w:rPr>
        <w:t>Requests made directly to the central registry shall be made on the department-prescribed Form 470-0643.</w:t>
      </w:r>
    </w:p>
    <w:p>
      <w:pPr>
        <w:spacing w:before="0" w:after="0"/>
        <w:ind w:left="120"/>
        <w:jc w:val="both"/>
      </w:pPr>
      <w:r>
        <w:rPr>
          <w:rFonts w:ascii="Times New Roman" w:hAnsi="Times New Roman"/>
          <w:b w:val="false"/>
          <w:i w:val="false"/>
          <w:color w:val="000000"/>
          <w:sz w:val="22"/>
        </w:rPr>
        <w:t xml:space="preserve">Health care programs requesting dependent adult abuse background checks on employee applicants and employees by use of the SING shall complete the department-prescribed Form 470-3767. Form 470-3767 shall be signed by the administrator of the health care program and be sent to the central registry before receipt of the information from the department. The administrator shall agree not to redisseminate dependent adult abuse information obtained through the SING, except as authorized in Iowa Code sections </w:t>
      </w:r>
      <w:hyperlink r:id="rId44">
        <w:r>
          <w:rPr>
            <w:rStyle w:val="Hyperlink"/>
            <w:rFonts w:ascii="Times New Roman" w:hAnsi="Times New Roman"/>
            <w:b w:val="false"/>
            <w:i w:val="false"/>
            <w:color w:val="000000"/>
            <w:sz w:val="22"/>
          </w:rPr>
          <w:t>235B.6</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235B.8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176.9(5)</w:t>
      </w:r>
      <w:r>
        <w:rPr>
          <w:rFonts w:ascii="Times New Roman" w:hAnsi="Times New Roman"/>
          <w:b w:val="false"/>
          <w:i w:val="false"/>
          <w:color w:val="000000"/>
          <w:sz w:val="22"/>
        </w:rPr>
        <w:t> </w:t>
      </w:r>
      <w:r>
        <w:rPr>
          <w:rFonts w:ascii="Times New Roman" w:hAnsi="Times New Roman"/>
          <w:b w:val="false"/>
          <w:i/>
          <w:color w:val="000000"/>
          <w:sz w:val="22"/>
        </w:rPr>
        <w:t xml:space="preserve">Requests concerning employees of department facilities. </w:t>
      </w:r>
      <w:r>
        <w:rPr>
          <w:rFonts w:ascii="Times New Roman" w:hAnsi="Times New Roman"/>
          <w:b w:val="false"/>
          <w:i w:val="false"/>
          <w:color w:val="000000"/>
          <w:sz w:val="22"/>
        </w:rPr>
        <w:t>When a request is made by the hiring authority of a department operated facility which provides direct client care and the request is made for the purpose of determining continued employability of a person employed, with or without compensation, by the facility, the information shall be requested directly from the central registry. The information requested shall be disseminated to the personnel office of the department. The personnel office shall redisseminate the information to the hiring authority for the person involved only upon a finding that the information has a direct bearing on employability of the person involved.</w:t>
      </w:r>
    </w:p>
    <w:p>
      <w:pPr>
        <w:spacing w:before="0" w:after="0"/>
        <w:ind w:left="120"/>
        <w:jc w:val="both"/>
      </w:pPr>
      <w:r>
        <w:rPr>
          <w:rFonts w:ascii="Times New Roman" w:hAnsi="Times New Roman"/>
          <w:b w:val="false"/>
          <w:i w:val="false"/>
          <w:color w:val="000000"/>
          <w:sz w:val="22"/>
        </w:rPr>
        <w:t>When the personnel office determines that the information has no direct bearing on employability, the hiring authority shall be notified that no job-related dependent adult abuse information is available. If the central registry and local office files contain no information, the hiring authority shall be so informed.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176.9(6)</w:t>
      </w:r>
      <w:r>
        <w:rPr>
          <w:rFonts w:ascii="Times New Roman" w:hAnsi="Times New Roman"/>
          <w:b w:val="false"/>
          <w:i w:val="false"/>
          <w:color w:val="000000"/>
          <w:sz w:val="22"/>
        </w:rPr>
        <w:t> </w:t>
      </w:r>
      <w:r>
        <w:rPr>
          <w:rFonts w:ascii="Times New Roman" w:hAnsi="Times New Roman"/>
          <w:b w:val="false"/>
          <w:i/>
          <w:color w:val="000000"/>
          <w:sz w:val="22"/>
        </w:rPr>
        <w:t xml:space="preserve">Dependent adult abuse information disseminated and redisseminated. </w:t>
      </w:r>
      <w:r>
        <w:rPr>
          <w:rFonts w:ascii="Times New Roman" w:hAnsi="Times New Roman"/>
          <w:b w:val="false"/>
          <w:i w:val="false"/>
          <w:color w:val="000000"/>
          <w:sz w:val="22"/>
        </w:rPr>
        <w:t xml:space="preserve">Notwithstanding requests pursuant to Iowa Code section </w:t>
      </w:r>
      <w:hyperlink r:id="rId46">
        <w:r>
          <w:rPr>
            <w:rStyle w:val="Hyperlink"/>
            <w:rFonts w:ascii="Times New Roman" w:hAnsi="Times New Roman"/>
            <w:b w:val="false"/>
            <w:i w:val="false"/>
            <w:color w:val="000000"/>
            <w:sz w:val="22"/>
          </w:rPr>
          <w:t>235B.7</w:t>
        </w:r>
      </w:hyperlink>
      <w:r>
        <w:rPr>
          <w:rFonts w:ascii="Times New Roman" w:hAnsi="Times New Roman"/>
          <w:b w:val="false"/>
          <w:i w:val="false"/>
          <w:color w:val="000000"/>
          <w:sz w:val="22"/>
        </w:rPr>
        <w:t xml:space="preserve">, written requests and oral requests are not required for dependent adult abuse information that is disseminated to an employee of the department, a district court, the attorney representing the department as authorized by Iowa Code section </w:t>
      </w:r>
      <w:hyperlink r:id="rId47">
        <w:r>
          <w:rPr>
            <w:rStyle w:val="Hyperlink"/>
            <w:rFonts w:ascii="Times New Roman" w:hAnsi="Times New Roman"/>
            <w:b w:val="false"/>
            <w:i w:val="false"/>
            <w:color w:val="000000"/>
            <w:sz w:val="22"/>
          </w:rPr>
          <w:t>235B.6</w:t>
        </w:r>
      </w:hyperlink>
      <w:r>
        <w:rPr>
          <w:rFonts w:ascii="Times New Roman" w:hAnsi="Times New Roman"/>
          <w:b w:val="false"/>
          <w:i w:val="false"/>
          <w:color w:val="000000"/>
          <w:sz w:val="22"/>
        </w:rPr>
        <w:t>, or the office of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176.9(7)</w:t>
      </w:r>
      <w:r>
        <w:rPr>
          <w:rFonts w:ascii="Times New Roman" w:hAnsi="Times New Roman"/>
          <w:b w:val="false"/>
          <w:i w:val="false"/>
          <w:color w:val="000000"/>
          <w:sz w:val="22"/>
        </w:rPr>
        <w:t> </w:t>
      </w:r>
      <w:r>
        <w:rPr>
          <w:rFonts w:ascii="Times New Roman" w:hAnsi="Times New Roman"/>
          <w:b w:val="false"/>
          <w:i/>
          <w:color w:val="000000"/>
          <w:sz w:val="22"/>
        </w:rPr>
        <w:t xml:space="preserve">Required notification. </w:t>
      </w:r>
      <w:r>
        <w:rPr>
          <w:rFonts w:ascii="Times New Roman" w:hAnsi="Times New Roman"/>
          <w:b w:val="false"/>
          <w:i w:val="false"/>
          <w:color w:val="000000"/>
          <w:sz w:val="22"/>
        </w:rPr>
        <w:t xml:space="preserve">The department will make a reasonable attempt to notify dependent adult abuse subjects as described in Iowa Code section </w:t>
      </w:r>
      <w:hyperlink r:id="rId48">
        <w:r>
          <w:rPr>
            <w:rStyle w:val="Hyperlink"/>
            <w:rFonts w:ascii="Times New Roman" w:hAnsi="Times New Roman"/>
            <w:b w:val="false"/>
            <w:i w:val="false"/>
            <w:color w:val="000000"/>
            <w:sz w:val="22"/>
          </w:rPr>
          <w:t>235B.6(2)</w:t>
        </w:r>
      </w:hyperlink>
      <w:r>
        <w:rPr>
          <w:rFonts w:ascii="Times New Roman" w:hAnsi="Times New Roman"/>
          <w:b w:val="false"/>
          <w:i/>
          <w:color w:val="000000"/>
          <w:sz w:val="22"/>
        </w:rPr>
        <w:t>“a”</w:t>
      </w:r>
      <w:r>
        <w:rPr>
          <w:rFonts w:ascii="Times New Roman" w:hAnsi="Times New Roman"/>
          <w:b w:val="false"/>
          <w:i w:val="false"/>
          <w:color w:val="000000"/>
          <w:sz w:val="22"/>
        </w:rPr>
        <w:t xml:space="preserve"> of the outcome of the dependent adult abuse assessment or evaluation. The department shall subsequently send a written notice to the report subjects which will include information regarding the results, the confidentiality provisions of Iowa Code sections </w:t>
      </w:r>
      <w:hyperlink r:id="rId49">
        <w:r>
          <w:rPr>
            <w:rStyle w:val="Hyperlink"/>
            <w:rFonts w:ascii="Times New Roman" w:hAnsi="Times New Roman"/>
            <w:b w:val="false"/>
            <w:i w:val="false"/>
            <w:color w:val="000000"/>
            <w:sz w:val="22"/>
          </w:rPr>
          <w:t>235B.6</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235B.12</w:t>
        </w:r>
      </w:hyperlink>
      <w:r>
        <w:rPr>
          <w:rFonts w:ascii="Times New Roman" w:hAnsi="Times New Roman"/>
          <w:b w:val="false"/>
          <w:i w:val="false"/>
          <w:color w:val="000000"/>
          <w:sz w:val="22"/>
        </w:rPr>
        <w:t xml:space="preserve">, and the procedures for correction or expungement and appeal of dependent adult abuse information as provided in Iowa Code section </w:t>
      </w:r>
      <w:hyperlink r:id="rId51">
        <w:r>
          <w:rPr>
            <w:rStyle w:val="Hyperlink"/>
            <w:rFonts w:ascii="Times New Roman" w:hAnsi="Times New Roman"/>
            <w:b w:val="false"/>
            <w:i w:val="false"/>
            <w:color w:val="000000"/>
            <w:sz w:val="22"/>
          </w:rPr>
          <w:t>235B.10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176.9(8)</w:t>
      </w:r>
      <w:r>
        <w:rPr>
          <w:rFonts w:ascii="Times New Roman" w:hAnsi="Times New Roman"/>
          <w:b w:val="false"/>
          <w:i w:val="false"/>
          <w:color w:val="000000"/>
          <w:sz w:val="22"/>
        </w:rPr>
        <w:t> </w:t>
      </w:r>
      <w:r>
        <w:rPr>
          <w:rFonts w:ascii="Times New Roman" w:hAnsi="Times New Roman"/>
          <w:b w:val="false"/>
          <w:i/>
          <w:color w:val="000000"/>
          <w:sz w:val="22"/>
        </w:rPr>
        <w:t xml:space="preserve">Mandatory reporter notification. </w:t>
      </w:r>
      <w:r>
        <w:rPr>
          <w:rFonts w:ascii="Times New Roman" w:hAnsi="Times New Roman"/>
          <w:b w:val="false"/>
          <w:i w:val="false"/>
          <w:color w:val="000000"/>
          <w:sz w:val="22"/>
        </w:rPr>
        <w:t xml:space="preserve">The department shall attempt to notify orally the mandatory reporter who made the report in a dependent adult abuse case of the results of the evaluation or assessment and of the confidentiality provisions of Iowa Code sections </w:t>
      </w:r>
      <w:hyperlink r:id="rId52">
        <w:r>
          <w:rPr>
            <w:rStyle w:val="Hyperlink"/>
            <w:rFonts w:ascii="Times New Roman" w:hAnsi="Times New Roman"/>
            <w:b w:val="false"/>
            <w:i w:val="false"/>
            <w:color w:val="000000"/>
            <w:sz w:val="22"/>
          </w:rPr>
          <w:t>235B.6</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235B.12</w:t>
        </w:r>
      </w:hyperlink>
      <w:r>
        <w:rPr>
          <w:rFonts w:ascii="Times New Roman" w:hAnsi="Times New Roman"/>
          <w:b w:val="false"/>
          <w:i w:val="false"/>
          <w:color w:val="000000"/>
          <w:sz w:val="22"/>
        </w:rPr>
        <w:t xml:space="preserve">. The department shall subsequently transmit a written adult protective notification on a form prescribed by the department to each mandatory reporter who made the report. The form shall include information regarding the results of the evaluation or assessment and confidentiality provisions. A copy of the written notice shall be transmitted to the registry and shall be maintained by the registry as provided in Iowa Code section </w:t>
      </w:r>
      <w:hyperlink r:id="rId54">
        <w:r>
          <w:rPr>
            <w:rStyle w:val="Hyperlink"/>
            <w:rFonts w:ascii="Times New Roman" w:hAnsi="Times New Roman"/>
            <w:b w:val="false"/>
            <w:i w:val="false"/>
            <w:color w:val="000000"/>
            <w:sz w:val="22"/>
          </w:rPr>
          <w:t>235B.8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176.9(9)</w:t>
      </w:r>
      <w:r>
        <w:rPr>
          <w:rFonts w:ascii="Times New Roman" w:hAnsi="Times New Roman"/>
          <w:b w:val="false"/>
          <w:i w:val="false"/>
          <w:color w:val="000000"/>
          <w:sz w:val="22"/>
        </w:rPr>
        <w:t> </w:t>
      </w:r>
      <w:r>
        <w:rPr>
          <w:rFonts w:ascii="Times New Roman" w:hAnsi="Times New Roman"/>
          <w:b w:val="false"/>
          <w:i/>
          <w:color w:val="000000"/>
          <w:sz w:val="22"/>
        </w:rPr>
        <w:t xml:space="preserve">Subjects informed of abuse history. </w:t>
      </w:r>
      <w:r>
        <w:rPr>
          <w:rFonts w:ascii="Times New Roman" w:hAnsi="Times New Roman"/>
          <w:b w:val="false"/>
          <w:i w:val="false"/>
          <w:color w:val="000000"/>
          <w:sz w:val="22"/>
        </w:rPr>
        <w:t>The department may inform a subject of a dependent adult abuse report of a person’s abuse history if the department determines at any time that disclosure is necessary for the protection of the dependent adult. A subject may be informed that a person is listed on the child or dependent adult abuse registry as having a founded abuse report or is listed on the sex offender registry.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2427C</w:t>
      </w:r>
      <w:r>
        <w:rPr>
          <w:rFonts w:ascii="Times New Roman" w:hAnsi="Times New Roman"/>
          <w:b w:val="false"/>
          <w:i w:val="false"/>
          <w:color w:val="000000"/>
          <w:sz w:val="16"/>
        </w:rPr>
        <w:t>, IAB 3/2/16, effective 5/1/16</w:t>
      </w:r>
      <w:r>
        <w:rPr>
          <w:rFonts w:ascii="Times New Roman" w:hAnsi="Times New Roman"/>
          <w:b w:val="false"/>
          <w:i w:val="false"/>
          <w:color w:val="000000"/>
          <w:sz w:val="16"/>
        </w:rPr>
        <w:t xml:space="preserve">; </w:t>
      </w:r>
      <w:r>
        <w:rPr>
          <w:rFonts w:ascii="Times New Roman" w:hAnsi="Times New Roman"/>
          <w:b/>
          <w:i w:val="false"/>
          <w:color w:val="000000"/>
          <w:sz w:val="16"/>
        </w:rPr>
        <w:t>ARC 4393C</w:t>
      </w:r>
      <w:r>
        <w:rPr>
          <w:rFonts w:ascii="Times New Roman" w:hAnsi="Times New Roman"/>
          <w:b w:val="false"/>
          <w:i w:val="false"/>
          <w:color w:val="000000"/>
          <w:sz w:val="16"/>
        </w:rPr>
        <w:t>, IAB 4/10/19, effective 6/1/19</w:t>
      </w:r>
      <w:r>
        <w:rPr>
          <w:rFonts w:ascii="Times New Roman" w:hAnsi="Times New Roman"/>
          <w:b w:val="false"/>
          <w:i w:val="false"/>
          <w:color w:val="000000"/>
          <w:sz w:val="16"/>
        </w:rPr>
        <w:t xml:space="preserve">; </w:t>
      </w:r>
      <w:r>
        <w:rPr>
          <w:rFonts w:ascii="Times New Roman" w:hAnsi="Times New Roman"/>
          <w:b/>
          <w:i w:val="false"/>
          <w:color w:val="000000"/>
          <w:sz w:val="16"/>
        </w:rPr>
        <w:t>ARC 6966C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441—176.10</w:t>
      </w:r>
      <w:r>
        <w:rPr>
          <w:rFonts w:ascii="Times New Roman" w:hAnsi="Times New Roman"/>
          <w:b/>
          <w:i w:val="false"/>
          <w:color w:val="000000"/>
          <w:sz w:val="22"/>
        </w:rPr>
        <w:t xml:space="preserve">(235B) </w:t>
      </w:r>
      <w:r>
        <w:rPr>
          <w:rFonts w:ascii="Times New Roman" w:hAnsi="Times New Roman"/>
          <w:b/>
          <w:i w:val="false"/>
          <w:color w:val="000000"/>
          <w:sz w:val="22"/>
        </w:rPr>
        <w:t xml:space="preserve">Person conducting research. </w:t>
      </w:r>
      <w:r>
        <w:rPr>
          <w:rFonts w:ascii="Times New Roman" w:hAnsi="Times New Roman"/>
          <w:b w:val="false"/>
          <w:i w:val="false"/>
          <w:color w:val="000000"/>
          <w:sz w:val="22"/>
        </w:rPr>
        <w:t>The person in charge of the central registry shall be responsible for determining whether a person requesting dependent adult abuse information is conducting bona fide research. To make this determination, the central registry may require these persons to submit credentials and the research design. If the registry determines that identified information is essential to the research design, the registry shall also determine the method by which written permission is to be secured from the dependent adult or guardians of the dependent adult who could be identified by the information to be researched. Any costs incurred in the dissemination of the information shall be assumed by the researcher. The department will keep a public record of persons conducting research.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6966C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441—176.11</w:t>
      </w:r>
      <w:r>
        <w:rPr>
          <w:rFonts w:ascii="Times New Roman" w:hAnsi="Times New Roman"/>
          <w:b/>
          <w:i w:val="false"/>
          <w:color w:val="000000"/>
          <w:sz w:val="22"/>
        </w:rPr>
        <w:t xml:space="preserve">(235B) </w:t>
      </w:r>
      <w:r>
        <w:rPr>
          <w:rFonts w:ascii="Times New Roman" w:hAnsi="Times New Roman"/>
          <w:b/>
          <w:i w:val="false"/>
          <w:color w:val="000000"/>
          <w:sz w:val="22"/>
        </w:rPr>
        <w:t xml:space="preserve">Examination of information. </w:t>
      </w:r>
    </w:p>
    <w:p>
      <w:pPr>
        <w:spacing w:before="0" w:after="0"/>
        <w:ind w:left="120"/>
        <w:jc w:val="both"/>
      </w:pPr>
      <w:r>
        <w:rPr>
          <w:rFonts w:ascii="Times New Roman" w:hAnsi="Times New Roman"/>
          <w:b w:val="false"/>
          <w:i w:val="false"/>
          <w:color w:val="000000"/>
          <w:sz w:val="22"/>
        </w:rPr>
        <w:t xml:space="preserve">Pursuant to Iowa Code section </w:t>
      </w:r>
      <w:hyperlink r:id="rId55">
        <w:r>
          <w:rPr>
            <w:rStyle w:val="Hyperlink"/>
            <w:rFonts w:ascii="Times New Roman" w:hAnsi="Times New Roman"/>
            <w:b w:val="false"/>
            <w:i w:val="false"/>
            <w:color w:val="000000"/>
            <w:sz w:val="22"/>
          </w:rPr>
          <w:t>235B.10</w:t>
        </w:r>
      </w:hyperlink>
      <w:r>
        <w:rPr>
          <w:rFonts w:ascii="Times New Roman" w:hAnsi="Times New Roman"/>
          <w:b w:val="false"/>
          <w:i w:val="false"/>
          <w:color w:val="000000"/>
          <w:sz w:val="22"/>
        </w:rPr>
        <w:t>, any person, or that person’s attorney, requesting to examine the information in the registry which refers to that person, shall be allowed to inspect the information after providing appropriate identification. Examination of information contained in the central registry can be made at the site of the central registry between the hours of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12 noon or 1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4 p.m., Monday through Friday, except state authorized holidays.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6966C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441—176.12</w:t>
      </w:r>
      <w:r>
        <w:rPr>
          <w:rFonts w:ascii="Times New Roman" w:hAnsi="Times New Roman"/>
          <w:b/>
          <w:i w:val="false"/>
          <w:color w:val="000000"/>
          <w:sz w:val="22"/>
        </w:rPr>
        <w:t xml:space="preserve">(235B) </w:t>
      </w:r>
      <w:r>
        <w:rPr>
          <w:rFonts w:ascii="Times New Roman" w:hAnsi="Times New Roman"/>
          <w:b/>
          <w:i w:val="false"/>
          <w:color w:val="000000"/>
          <w:sz w:val="22"/>
        </w:rPr>
        <w:t xml:space="preserve">Dependent adult abuse information registry. </w:t>
      </w:r>
      <w:r>
        <w:rPr>
          <w:rFonts w:ascii="Times New Roman" w:hAnsi="Times New Roman"/>
          <w:b w:val="false"/>
          <w:i w:val="false"/>
          <w:color w:val="000000"/>
          <w:sz w:val="22"/>
        </w:rPr>
        <w:t>The department shall create a central abuse registry for dependent adult abuse information. The registry shall collect, maintain, and disseminate dependent adult abuse information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176.12(1)</w:t>
      </w:r>
      <w:r>
        <w:rPr>
          <w:rFonts w:ascii="Times New Roman" w:hAnsi="Times New Roman"/>
          <w:b w:val="false"/>
          <w:i w:val="false"/>
          <w:color w:val="000000"/>
          <w:sz w:val="22"/>
        </w:rPr>
        <w:t> </w:t>
      </w:r>
      <w:r>
        <w:rPr>
          <w:rFonts w:ascii="Times New Roman" w:hAnsi="Times New Roman"/>
          <w:b w:val="false"/>
          <w:i/>
          <w:color w:val="000000"/>
          <w:sz w:val="22"/>
        </w:rPr>
        <w:t xml:space="preserve">Founded reports. </w:t>
      </w:r>
      <w:r>
        <w:rPr>
          <w:rFonts w:ascii="Times New Roman" w:hAnsi="Times New Roman"/>
          <w:b w:val="false"/>
          <w:i w:val="false"/>
          <w:color w:val="000000"/>
          <w:sz w:val="22"/>
        </w:rPr>
        <w:t xml:space="preserve">A report of dependent adult abuse determined to be founded shall be retained and sealed by the registry in accordance with Iowa Code section </w:t>
      </w:r>
      <w:hyperlink r:id="rId56">
        <w:r>
          <w:rPr>
            <w:rStyle w:val="Hyperlink"/>
            <w:rFonts w:ascii="Times New Roman" w:hAnsi="Times New Roman"/>
            <w:b w:val="false"/>
            <w:i w:val="false"/>
            <w:color w:val="000000"/>
            <w:sz w:val="22"/>
          </w:rPr>
          <w:t>235B.9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176.12(2)</w:t>
      </w:r>
      <w:r>
        <w:rPr>
          <w:rFonts w:ascii="Times New Roman" w:hAnsi="Times New Roman"/>
          <w:b w:val="false"/>
          <w:i w:val="false"/>
          <w:color w:val="000000"/>
          <w:sz w:val="22"/>
        </w:rPr>
        <w:t> </w:t>
      </w:r>
      <w:r>
        <w:rPr>
          <w:rFonts w:ascii="Times New Roman" w:hAnsi="Times New Roman"/>
          <w:b w:val="false"/>
          <w:i/>
          <w:color w:val="000000"/>
          <w:sz w:val="22"/>
        </w:rPr>
        <w:t xml:space="preserve">Unfounded reports. </w:t>
      </w:r>
      <w:r>
        <w:rPr>
          <w:rFonts w:ascii="Times New Roman" w:hAnsi="Times New Roman"/>
          <w:b w:val="false"/>
          <w:i w:val="false"/>
          <w:color w:val="000000"/>
          <w:sz w:val="22"/>
        </w:rPr>
        <w:t xml:space="preserve">A report of dependent adult abuse determined to be unfounded shall be expunged five years from the date it is determined to be unfounded, in accordance with Iowa Code section </w:t>
      </w:r>
      <w:hyperlink r:id="rId57">
        <w:r>
          <w:rPr>
            <w:rStyle w:val="Hyperlink"/>
            <w:rFonts w:ascii="Times New Roman" w:hAnsi="Times New Roman"/>
            <w:b w:val="false"/>
            <w:i w:val="false"/>
            <w:color w:val="000000"/>
            <w:sz w:val="22"/>
          </w:rPr>
          <w:t>235B.9(2)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176.12(3)</w:t>
      </w:r>
      <w:r>
        <w:rPr>
          <w:rFonts w:ascii="Times New Roman" w:hAnsi="Times New Roman"/>
          <w:b w:val="false"/>
          <w:i w:val="false"/>
          <w:color w:val="000000"/>
          <w:sz w:val="22"/>
        </w:rPr>
        <w:t> </w:t>
      </w:r>
      <w:r>
        <w:rPr>
          <w:rFonts w:ascii="Times New Roman" w:hAnsi="Times New Roman"/>
          <w:b w:val="false"/>
          <w:i/>
          <w:color w:val="000000"/>
          <w:sz w:val="22"/>
        </w:rPr>
        <w:t xml:space="preserve">Rejected intakes. </w:t>
      </w:r>
      <w:r>
        <w:rPr>
          <w:rFonts w:ascii="Times New Roman" w:hAnsi="Times New Roman"/>
          <w:b w:val="false"/>
          <w:i w:val="false"/>
          <w:color w:val="000000"/>
          <w:sz w:val="22"/>
        </w:rPr>
        <w:t>Reports that are found not to meet the criteria to be accepted for evaluation or assessment of abuse shall be kept in the dependent adult reporting and evaluation system (DARES) for three years from the date the report of abuse was determined to be rejected.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176.12(4)</w:t>
      </w:r>
      <w:r>
        <w:rPr>
          <w:rFonts w:ascii="Times New Roman" w:hAnsi="Times New Roman"/>
          <w:b w:val="false"/>
          <w:i w:val="false"/>
          <w:color w:val="000000"/>
          <w:sz w:val="22"/>
        </w:rPr>
        <w:t> </w:t>
      </w:r>
      <w:r>
        <w:rPr>
          <w:rFonts w:ascii="Times New Roman" w:hAnsi="Times New Roman"/>
          <w:b w:val="false"/>
          <w:i/>
          <w:color w:val="000000"/>
          <w:sz w:val="22"/>
        </w:rPr>
        <w:t xml:space="preserve">Assessments. </w:t>
      </w:r>
      <w:r>
        <w:rPr>
          <w:rFonts w:ascii="Times New Roman" w:hAnsi="Times New Roman"/>
          <w:b w:val="false"/>
          <w:i w:val="false"/>
          <w:color w:val="000000"/>
          <w:sz w:val="22"/>
        </w:rPr>
        <w:t>Reports classified as assessments shall not be included in the central registry but shall be maintained in the DARES. The central registry shall be notified of the disposition of the assessment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Self-denial of critical care. </w:t>
      </w:r>
      <w:r>
        <w:rPr>
          <w:rFonts w:ascii="Times New Roman" w:hAnsi="Times New Roman"/>
          <w:b w:val="false"/>
          <w:i w:val="false"/>
          <w:color w:val="000000"/>
          <w:sz w:val="22"/>
        </w:rPr>
        <w:t>Reports involving abuse as a result of the acts or omissions of the dependent adult will be assessments. These reports shall be retained in the DARES for five years and then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Confirmed, not registered. </w:t>
      </w:r>
      <w:r>
        <w:rPr>
          <w:rFonts w:ascii="Times New Roman" w:hAnsi="Times New Roman"/>
          <w:b w:val="false"/>
          <w:i w:val="false"/>
          <w:color w:val="000000"/>
          <w:sz w:val="22"/>
        </w:rPr>
        <w:t>Reports of dependent adult abuse where physical abuse, assault, unreasonable confinement, unreasonable punishment, denial of critical care, or personal degradation committed by a caretaker is confirmed but is determined to be minor, isolated, and unlikely to reoccur shall be assessments. These reports shall be maintained in the DARES for five years and then destroyed unless a subsequent report of dependent adult abuse on the same caretaker is founded. If a subsequent report on the same caretaker is founded within the five-year period, the confirmed, not registered report shall be maintained in the DARES for ten years from the date of the subsequent report and then sealed.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8099B</w:t>
      </w:r>
      <w:r>
        <w:rPr>
          <w:rFonts w:ascii="Times New Roman" w:hAnsi="Times New Roman"/>
          <w:b w:val="false"/>
          <w:i w:val="false"/>
          <w:color w:val="000000"/>
          <w:sz w:val="16"/>
        </w:rPr>
        <w:t>, IAB 9/9/09, effective 8/13/09</w:t>
      </w:r>
      <w:r>
        <w:rPr>
          <w:rFonts w:ascii="Times New Roman" w:hAnsi="Times New Roman"/>
          <w:b w:val="false"/>
          <w:i w:val="false"/>
          <w:color w:val="000000"/>
          <w:sz w:val="16"/>
        </w:rPr>
        <w:t xml:space="preserve">; </w:t>
      </w:r>
      <w:r>
        <w:rPr>
          <w:rFonts w:ascii="Times New Roman" w:hAnsi="Times New Roman"/>
          <w:b/>
          <w:i w:val="false"/>
          <w:color w:val="000000"/>
          <w:sz w:val="16"/>
        </w:rPr>
        <w:t>ARC 6966C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441—176.13</w:t>
      </w:r>
      <w:r>
        <w:rPr>
          <w:rFonts w:ascii="Times New Roman" w:hAnsi="Times New Roman"/>
          <w:b/>
          <w:i w:val="false"/>
          <w:color w:val="000000"/>
          <w:sz w:val="22"/>
        </w:rPr>
        <w:t xml:space="preserve">(235B) </w:t>
      </w:r>
      <w:r>
        <w:rPr>
          <w:rFonts w:ascii="Times New Roman" w:hAnsi="Times New Roman"/>
          <w:b/>
          <w:i w:val="false"/>
          <w:color w:val="000000"/>
          <w:sz w:val="22"/>
        </w:rPr>
        <w:t xml:space="preserve">Multidisciplinary teams.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176.13(1)</w:t>
      </w:r>
      <w:r>
        <w:rPr>
          <w:rFonts w:ascii="Times New Roman" w:hAnsi="Times New Roman"/>
          <w:b w:val="false"/>
          <w:i w:val="false"/>
          <w:color w:val="000000"/>
          <w:sz w:val="22"/>
        </w:rPr>
        <w:t> </w:t>
      </w:r>
      <w:r>
        <w:rPr>
          <w:rFonts w:ascii="Times New Roman" w:hAnsi="Times New Roman"/>
          <w:b w:val="false"/>
          <w:i/>
          <w:color w:val="000000"/>
          <w:sz w:val="22"/>
        </w:rPr>
        <w:t xml:space="preserve">Purpose of multidisciplinary teams. </w:t>
      </w:r>
      <w:r>
        <w:rPr>
          <w:rFonts w:ascii="Times New Roman" w:hAnsi="Times New Roman"/>
          <w:b w:val="false"/>
          <w:i w:val="false"/>
          <w:color w:val="000000"/>
          <w:sz w:val="22"/>
        </w:rPr>
        <w:t>The service area shall establish multidisciplinary teams for the purpose of assisting the department in assessment, diagnosis, and disposition of reported dependent adult abuse cases. The disposition of a case may include the provision for treatment recommendations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176.13(2)</w:t>
      </w:r>
      <w:r>
        <w:rPr>
          <w:rFonts w:ascii="Times New Roman" w:hAnsi="Times New Roman"/>
          <w:b w:val="false"/>
          <w:i w:val="false"/>
          <w:color w:val="000000"/>
          <w:sz w:val="22"/>
        </w:rPr>
        <w:t> </w:t>
      </w:r>
      <w:r>
        <w:rPr>
          <w:rFonts w:ascii="Times New Roman" w:hAnsi="Times New Roman"/>
          <w:b w:val="false"/>
          <w:i/>
          <w:color w:val="000000"/>
          <w:sz w:val="22"/>
        </w:rPr>
        <w:t xml:space="preserve">Execution of team agreement. </w:t>
      </w:r>
      <w:r>
        <w:rPr>
          <w:rFonts w:ascii="Times New Roman" w:hAnsi="Times New Roman"/>
          <w:b w:val="false"/>
          <w:i w:val="false"/>
          <w:color w:val="000000"/>
          <w:sz w:val="22"/>
        </w:rPr>
        <w:t>When the team is established, the service area manager or designee and all team members shall execute an agreement on a form prescribed by the department. The multidisciplinary team agreement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the team shall be consulted solely for the purpose of assisting the department in the assessment, diagnosis and treatment of dependent adult abuse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That any team member may cause a dependent adult abuse case to be reviewed if approved by the department through use of the process of requesting dependent adult abuse information specified in rule </w:t>
      </w:r>
      <w:hyperlink r:id="rId58">
        <w:r>
          <w:rPr>
            <w:rStyle w:val="Hyperlink"/>
            <w:rFonts w:ascii="Times New Roman" w:hAnsi="Times New Roman"/>
            <w:b w:val="false"/>
            <w:i w:val="false"/>
            <w:color w:val="000000"/>
            <w:sz w:val="22"/>
          </w:rPr>
          <w:t>441—176.9</w:t>
        </w:r>
      </w:hyperlink>
      <w:r>
        <w:rPr>
          <w:rFonts w:ascii="Times New Roman" w:hAnsi="Times New Roman"/>
          <w:b w:val="false"/>
          <w:i w:val="false"/>
          <w:color w:val="000000"/>
          <w:sz w:val="22"/>
        </w:rPr>
        <w:t>(235B).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That no team members shall redisseminate dependent adult abuse information obtained solely through the multidisciplinary team. This shall not preclude redissemination of information as authorized by Iowa Code section </w:t>
      </w:r>
      <w:hyperlink r:id="rId59">
        <w:r>
          <w:rPr>
            <w:rStyle w:val="Hyperlink"/>
            <w:rFonts w:ascii="Times New Roman" w:hAnsi="Times New Roman"/>
            <w:b w:val="false"/>
            <w:i w:val="false"/>
            <w:color w:val="000000"/>
            <w:sz w:val="22"/>
          </w:rPr>
          <w:t>235B.6</w:t>
        </w:r>
      </w:hyperlink>
      <w:r>
        <w:rPr>
          <w:rFonts w:ascii="Times New Roman" w:hAnsi="Times New Roman"/>
          <w:b w:val="false"/>
          <w:i w:val="false"/>
          <w:color w:val="000000"/>
          <w:sz w:val="22"/>
        </w:rPr>
        <w:t xml:space="preserve"> when an individual team member has received information as a result of another authorized access provision of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That the department may consider the recommendation of the team in a specific dependent adult abuse case but shall not, in any way, be bound by the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That any written report or document produced by the team pertaining to an individual case shall be made a part of the file for the case and shall be subject to all confidentiality provisions of Iowa Code sections </w:t>
      </w:r>
      <w:hyperlink r:id="rId60">
        <w:r>
          <w:rPr>
            <w:rStyle w:val="Hyperlink"/>
            <w:rFonts w:ascii="Times New Roman" w:hAnsi="Times New Roman"/>
            <w:b w:val="false"/>
            <w:i w:val="false"/>
            <w:color w:val="000000"/>
            <w:sz w:val="22"/>
          </w:rPr>
          <w:t>235B.6</w:t>
        </w:r>
      </w:hyperlink>
      <w:r>
        <w:rPr>
          <w:rFonts w:ascii="Times New Roman" w:hAnsi="Times New Roman"/>
          <w:b w:val="false"/>
          <w:i w:val="false"/>
          <w:color w:val="000000"/>
          <w:sz w:val="22"/>
        </w:rPr>
        <w:t xml:space="preserve"> and </w:t>
      </w:r>
      <w:hyperlink r:id="rId61">
        <w:r>
          <w:rPr>
            <w:rStyle w:val="Hyperlink"/>
            <w:rFonts w:ascii="Times New Roman" w:hAnsi="Times New Roman"/>
            <w:b w:val="false"/>
            <w:i w:val="false"/>
            <w:color w:val="000000"/>
            <w:sz w:val="22"/>
          </w:rPr>
          <w:t>235B.8</w:t>
        </w:r>
      </w:hyperlink>
      <w:r>
        <w:rPr>
          <w:rFonts w:ascii="Times New Roman" w:hAnsi="Times New Roman"/>
          <w:b w:val="false"/>
          <w:i w:val="false"/>
          <w:color w:val="000000"/>
          <w:sz w:val="22"/>
        </w:rPr>
        <w:t xml:space="preserve"> and of </w:t>
      </w:r>
      <w:hyperlink r:id="rId62">
        <w:r>
          <w:rPr>
            <w:rStyle w:val="Hyperlink"/>
            <w:rFonts w:ascii="Times New Roman" w:hAnsi="Times New Roman"/>
            <w:b w:val="false"/>
            <w:i w:val="false"/>
            <w:color w:val="000000"/>
            <w:sz w:val="22"/>
          </w:rPr>
          <w:t>441—Chapter 176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That any written records maintained by the team which identify an individual dependent adult abuse case shall be destroyed when the agreement lapses.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That consultation team members shall serve without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That any party to the contract may withdraw with or without cause upon the giving of 30 days’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date on which the agreement will expire.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176.13(3)</w:t>
      </w:r>
      <w:r>
        <w:rPr>
          <w:rFonts w:ascii="Times New Roman" w:hAnsi="Times New Roman"/>
          <w:b w:val="false"/>
          <w:i w:val="false"/>
          <w:color w:val="000000"/>
          <w:sz w:val="22"/>
        </w:rPr>
        <w:t> </w:t>
      </w:r>
      <w:r>
        <w:rPr>
          <w:rFonts w:ascii="Times New Roman" w:hAnsi="Times New Roman"/>
          <w:b w:val="false"/>
          <w:i/>
          <w:color w:val="000000"/>
          <w:sz w:val="22"/>
        </w:rPr>
        <w:t xml:space="preserve">Filing of agreement. </w:t>
      </w:r>
      <w:r>
        <w:rPr>
          <w:rFonts w:ascii="Times New Roman" w:hAnsi="Times New Roman"/>
          <w:b w:val="false"/>
          <w:i w:val="false"/>
          <w:color w:val="000000"/>
          <w:sz w:val="22"/>
        </w:rPr>
        <w:t>Whenever a team is created, a copy of the executed contract shall be filed with the central registry in addition to any other requirement placed upon execution of agreements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4393C</w:t>
      </w:r>
      <w:r>
        <w:rPr>
          <w:rFonts w:ascii="Times New Roman" w:hAnsi="Times New Roman"/>
          <w:b w:val="false"/>
          <w:i w:val="false"/>
          <w:color w:val="000000"/>
          <w:sz w:val="16"/>
        </w:rPr>
        <w:t>, IAB 4/10/19, effective 6/1/19</w:t>
      </w:r>
      <w:r>
        <w:rPr>
          <w:rFonts w:ascii="Times New Roman" w:hAnsi="Times New Roman"/>
          <w:b w:val="false"/>
          <w:i w:val="false"/>
          <w:color w:val="000000"/>
          <w:sz w:val="16"/>
        </w:rPr>
        <w:t xml:space="preserve">; </w:t>
      </w:r>
      <w:r>
        <w:rPr>
          <w:rFonts w:ascii="Times New Roman" w:hAnsi="Times New Roman"/>
          <w:b/>
          <w:i w:val="false"/>
          <w:color w:val="000000"/>
          <w:sz w:val="16"/>
        </w:rPr>
        <w:t>ARC 6966C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441—176.14</w:t>
      </w:r>
      <w:r>
        <w:rPr>
          <w:rFonts w:ascii="Times New Roman" w:hAnsi="Times New Roman"/>
          <w:b/>
          <w:i w:val="false"/>
          <w:color w:val="000000"/>
          <w:sz w:val="22"/>
        </w:rPr>
        <w:t xml:space="preserve">(235B) </w:t>
      </w:r>
      <w:r>
        <w:rPr>
          <w:rFonts w:ascii="Times New Roman" w:hAnsi="Times New Roman"/>
          <w:b/>
          <w:i w:val="false"/>
          <w:color w:val="000000"/>
          <w:sz w:val="22"/>
        </w:rPr>
        <w:t xml:space="preserve">Request for correction or expungement. </w:t>
      </w:r>
      <w:r>
        <w:rPr>
          <w:rFonts w:ascii="Times New Roman" w:hAnsi="Times New Roman"/>
          <w:b w:val="false"/>
          <w:i w:val="false"/>
          <w:color w:val="000000"/>
          <w:sz w:val="22"/>
        </w:rPr>
        <w:t>The department is responsible for correction or expungement of reports prepared by department staff. The department of inspections and appeals is responsible for correction or expungement of reports prepared by that department’s staff and that determination shall be binding on the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176.14(1)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request for correction or expungement pursuant to Iowa Code section </w:t>
      </w:r>
      <w:hyperlink r:id="rId63">
        <w:r>
          <w:rPr>
            <w:rStyle w:val="Hyperlink"/>
            <w:rFonts w:ascii="Times New Roman" w:hAnsi="Times New Roman"/>
            <w:b w:val="false"/>
            <w:i w:val="false"/>
            <w:color w:val="000000"/>
            <w:sz w:val="22"/>
          </w:rPr>
          <w:t>235B.10</w:t>
        </w:r>
      </w:hyperlink>
      <w:r>
        <w:rPr>
          <w:rFonts w:ascii="Times New Roman" w:hAnsi="Times New Roman"/>
          <w:b w:val="false"/>
          <w:i w:val="false"/>
          <w:color w:val="000000"/>
          <w:sz w:val="22"/>
        </w:rPr>
        <w:t xml:space="preserve"> is received, the central registry will record all requests and promptly forward the requests to the division of health facilities, department of inspections and appeals, when the reports were prepared by the department of inspections and appeals. The registry will notify the person requesting a correction that the report has been sent to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176.14(2)</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the designated department corrects the information or findings as requested, the designated department shall provide the person with an opportunity for a hearing as provided by </w:t>
      </w:r>
      <w:hyperlink r:id="rId64">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to correct the information or the findings. The department may defer the hearing until the conclusion of a pending district court case relating to the information or findings.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6966C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5">
        <w:r>
          <w:rPr>
            <w:rStyle w:val="Hyperlink"/>
            <w:rFonts w:ascii="Times New Roman" w:hAnsi="Times New Roman"/>
            <w:b w:val="false"/>
            <w:i w:val="false"/>
            <w:color w:val="000000"/>
            <w:sz w:val="22"/>
          </w:rPr>
          <w:t>235B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3/27/78, Notice 2/8/78—published 4/19/78, effective 5/24/78]</w:t>
      </w:r>
    </w:p>
    <w:p>
      <w:pPr>
        <w:spacing w:before="0" w:after="0"/>
        <w:ind w:left="120"/>
        <w:jc w:val="center"/>
      </w:pPr>
      <w:r>
        <w:rPr>
          <w:rFonts w:ascii="Times New Roman" w:hAnsi="Times New Roman"/>
          <w:b w:val="false"/>
          <w:i w:val="false"/>
          <w:color w:val="000000"/>
          <w:sz w:val="21"/>
        </w:rPr>
        <w:t>[Filed 6/30/81, Notice 4/1/81—published 7/22/81, effective 8/26/81]</w:t>
      </w:r>
    </w:p>
    <w:p>
      <w:pPr>
        <w:spacing w:before="0" w:after="0"/>
        <w:ind w:left="120"/>
        <w:jc w:val="center"/>
      </w:pPr>
      <w:r>
        <w:rPr>
          <w:rFonts w:ascii="Times New Roman" w:hAnsi="Times New Roman"/>
          <w:b w:val="false"/>
          <w:i w:val="false"/>
          <w:color w:val="000000"/>
          <w:sz w:val="21"/>
        </w:rPr>
        <w:t>[Filed 11/5/82, Notice 8/18/82—published 11/24/82, effective 1/1/83]</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6/15/84—published 7/4/84, effective 7/1/84]</w:t>
      </w:r>
    </w:p>
    <w:p>
      <w:pPr>
        <w:spacing w:before="0" w:after="0"/>
        <w:ind w:left="120"/>
        <w:jc w:val="center"/>
      </w:pPr>
      <w:r>
        <w:rPr>
          <w:rFonts w:ascii="Times New Roman" w:hAnsi="Times New Roman"/>
          <w:b w:val="false"/>
          <w:i w:val="false"/>
          <w:color w:val="000000"/>
          <w:sz w:val="21"/>
        </w:rPr>
        <w:t>[Filed emergency 6/14/85—published 7/3/85, effective 7/1/85]</w:t>
      </w:r>
    </w:p>
    <w:p>
      <w:pPr>
        <w:spacing w:before="0" w:after="0"/>
        <w:ind w:left="120"/>
        <w:jc w:val="center"/>
      </w:pPr>
      <w:r>
        <w:rPr>
          <w:rFonts w:ascii="Times New Roman" w:hAnsi="Times New Roman"/>
          <w:b w:val="false"/>
          <w:i w:val="false"/>
          <w:color w:val="000000"/>
          <w:sz w:val="21"/>
        </w:rPr>
        <w:t>[Filed 8/23/85, Notice 7/3/85—published 9/11/85, effective 11/1/85]</w:t>
      </w:r>
    </w:p>
    <w:p>
      <w:pPr>
        <w:spacing w:before="0" w:after="0"/>
        <w:ind w:left="120"/>
        <w:jc w:val="center"/>
      </w:pPr>
      <w:r>
        <w:rPr>
          <w:rFonts w:ascii="Times New Roman" w:hAnsi="Times New Roman"/>
          <w:b w:val="false"/>
          <w:i w:val="false"/>
          <w:color w:val="000000"/>
          <w:sz w:val="21"/>
        </w:rPr>
        <w:t>[Filed 1/22/86, Notice 11/20/85—published 2/12/86, effective 4/1/86]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8/28/87, Notice 7/15/87—published 9/23/87, effective 11/1/87]</w:t>
      </w:r>
    </w:p>
    <w:p>
      <w:pPr>
        <w:spacing w:before="0" w:after="0"/>
        <w:ind w:left="120"/>
        <w:jc w:val="center"/>
      </w:pPr>
      <w:r>
        <w:rPr>
          <w:rFonts w:ascii="Times New Roman" w:hAnsi="Times New Roman"/>
          <w:b w:val="false"/>
          <w:i w:val="false"/>
          <w:color w:val="000000"/>
          <w:sz w:val="21"/>
        </w:rPr>
        <w:t>[Filed 10/23/87, Notice 9/9/87—published 11/18/87, effective 1/1/88]</w:t>
      </w:r>
    </w:p>
    <w:p>
      <w:pPr>
        <w:spacing w:before="0" w:after="0"/>
        <w:ind w:left="120"/>
        <w:jc w:val="center"/>
      </w:pPr>
      <w:r>
        <w:rPr>
          <w:rFonts w:ascii="Times New Roman" w:hAnsi="Times New Roman"/>
          <w:b w:val="false"/>
          <w:i w:val="false"/>
          <w:color w:val="000000"/>
          <w:sz w:val="21"/>
        </w:rPr>
        <w:t>[Filed 9/2/88, Notice 6/29/88—published 9/21/88, effective 11/1/88]</w:t>
      </w:r>
    </w:p>
    <w:p>
      <w:pPr>
        <w:spacing w:before="0" w:after="0"/>
        <w:ind w:left="120"/>
        <w:jc w:val="center"/>
      </w:pPr>
      <w:r>
        <w:rPr>
          <w:rFonts w:ascii="Times New Roman" w:hAnsi="Times New Roman"/>
          <w:b w:val="false"/>
          <w:i w:val="false"/>
          <w:color w:val="000000"/>
          <w:sz w:val="21"/>
        </w:rPr>
        <w:t>[Filed emergency 10/27/88 after Notice of 9/7/88—published 11/16/88, effective 11/1/88]</w:t>
      </w:r>
    </w:p>
    <w:p>
      <w:pPr>
        <w:spacing w:before="0" w:after="0"/>
        <w:ind w:left="120"/>
        <w:jc w:val="center"/>
      </w:pPr>
      <w:r>
        <w:rPr>
          <w:rFonts w:ascii="Times New Roman" w:hAnsi="Times New Roman"/>
          <w:b w:val="false"/>
          <w:i w:val="false"/>
          <w:color w:val="000000"/>
          <w:sz w:val="21"/>
        </w:rPr>
        <w:t>[Filed 4/13/89, Notice 3/8/89—published 5/3/89, effective 7/1/89]</w:t>
      </w:r>
    </w:p>
    <w:p>
      <w:pPr>
        <w:spacing w:before="0" w:after="0"/>
        <w:ind w:left="120"/>
        <w:jc w:val="center"/>
      </w:pPr>
      <w:r>
        <w:rPr>
          <w:rFonts w:ascii="Times New Roman" w:hAnsi="Times New Roman"/>
          <w:b w:val="false"/>
          <w:i w:val="false"/>
          <w:color w:val="000000"/>
          <w:sz w:val="21"/>
        </w:rPr>
        <w:t>[Filed 11/14/90, Notice 9/19/90—published 12/12/90, effective 2/1/91]</w:t>
      </w:r>
    </w:p>
    <w:p>
      <w:pPr>
        <w:spacing w:before="0" w:after="0"/>
        <w:ind w:left="120"/>
        <w:jc w:val="center"/>
      </w:pPr>
      <w:r>
        <w:rPr>
          <w:rFonts w:ascii="Times New Roman" w:hAnsi="Times New Roman"/>
          <w:b w:val="false"/>
          <w:i w:val="false"/>
          <w:color w:val="000000"/>
          <w:sz w:val="21"/>
        </w:rPr>
        <w:t>[Filed 6/14/91, Notice 5/1/91—published 7/10/91, effective 9/1/91]</w:t>
      </w:r>
    </w:p>
    <w:p>
      <w:pPr>
        <w:spacing w:before="0" w:after="0"/>
        <w:ind w:left="120"/>
        <w:jc w:val="center"/>
      </w:pPr>
      <w:r>
        <w:rPr>
          <w:rFonts w:ascii="Times New Roman" w:hAnsi="Times New Roman"/>
          <w:b w:val="false"/>
          <w:i w:val="false"/>
          <w:color w:val="000000"/>
          <w:sz w:val="21"/>
        </w:rPr>
        <w:t>[Filed 10/10/91, Notice 9/4/91—published 10/30/91, effective 1/1/92]</w:t>
      </w:r>
    </w:p>
    <w:p>
      <w:pPr>
        <w:spacing w:before="0" w:after="0"/>
        <w:ind w:left="120"/>
        <w:jc w:val="center"/>
      </w:pPr>
      <w:r>
        <w:rPr>
          <w:rFonts w:ascii="Times New Roman" w:hAnsi="Times New Roman"/>
          <w:b w:val="false"/>
          <w:i w:val="false"/>
          <w:color w:val="000000"/>
          <w:sz w:val="21"/>
        </w:rPr>
        <w:t>[Filed 10/15/92, Notice 8/19/92—published 11/11/92, effective 1/1/93]</w:t>
      </w:r>
    </w:p>
    <w:p>
      <w:pPr>
        <w:spacing w:before="0" w:after="0"/>
        <w:ind w:left="120"/>
        <w:jc w:val="center"/>
      </w:pPr>
      <w:r>
        <w:rPr>
          <w:rFonts w:ascii="Times New Roman" w:hAnsi="Times New Roman"/>
          <w:b w:val="false"/>
          <w:i w:val="false"/>
          <w:color w:val="000000"/>
          <w:sz w:val="21"/>
        </w:rPr>
        <w:t>[Filed 10/14/93, Notice 8/18/93—published 11/10/93, effective 1/1/94]</w:t>
      </w:r>
    </w:p>
    <w:p>
      <w:pPr>
        <w:spacing w:before="0" w:after="0"/>
        <w:ind w:left="120"/>
        <w:jc w:val="center"/>
      </w:pPr>
      <w:r>
        <w:rPr>
          <w:rFonts w:ascii="Times New Roman" w:hAnsi="Times New Roman"/>
          <w:b w:val="false"/>
          <w:i w:val="false"/>
          <w:color w:val="000000"/>
          <w:sz w:val="21"/>
        </w:rPr>
        <w:t>[Filed 11/16/95, Notice 9/27/95—published 12/6/95, effective 2/1/96]</w:t>
      </w:r>
    </w:p>
    <w:p>
      <w:pPr>
        <w:spacing w:before="0" w:after="0"/>
        <w:ind w:left="120"/>
        <w:jc w:val="center"/>
      </w:pPr>
      <w:r>
        <w:rPr>
          <w:rFonts w:ascii="Times New Roman" w:hAnsi="Times New Roman"/>
          <w:b w:val="false"/>
          <w:i w:val="false"/>
          <w:color w:val="000000"/>
          <w:sz w:val="21"/>
        </w:rPr>
        <w:t>[Filed 10/9/96, Notice 8/14/96—published 11/6/96, effective 1/1/97]</w:t>
      </w:r>
    </w:p>
    <w:p>
      <w:pPr>
        <w:spacing w:before="0" w:after="0"/>
        <w:ind w:left="120"/>
        <w:jc w:val="center"/>
      </w:pPr>
      <w:r>
        <w:rPr>
          <w:rFonts w:ascii="Times New Roman" w:hAnsi="Times New Roman"/>
          <w:b w:val="false"/>
          <w:i w:val="false"/>
          <w:color w:val="000000"/>
          <w:sz w:val="21"/>
        </w:rPr>
        <w:t>[Filed 7/15/99, Notice 6/2/99—published 8/11/99, effective 10/1/99]</w:t>
      </w:r>
    </w:p>
    <w:p>
      <w:pPr>
        <w:spacing w:before="0" w:after="0"/>
        <w:ind w:left="120"/>
        <w:jc w:val="center"/>
      </w:pPr>
      <w:r>
        <w:rPr>
          <w:rFonts w:ascii="Times New Roman" w:hAnsi="Times New Roman"/>
          <w:b w:val="false"/>
          <w:i w:val="false"/>
          <w:color w:val="000000"/>
          <w:sz w:val="21"/>
        </w:rPr>
        <w:t>[Filed 11/8/00, Notice 10/4/00—published 11/29/00, effective 1/3/01]</w:t>
      </w:r>
    </w:p>
    <w:p>
      <w:pPr>
        <w:spacing w:before="0" w:after="0"/>
        <w:ind w:left="120"/>
        <w:jc w:val="center"/>
      </w:pPr>
      <w:r>
        <w:rPr>
          <w:rFonts w:ascii="Times New Roman" w:hAnsi="Times New Roman"/>
          <w:b w:val="false"/>
          <w:i w:val="false"/>
          <w:color w:val="000000"/>
          <w:sz w:val="21"/>
        </w:rPr>
        <w:t>[Filed 6/13/01, Notice 4/18/01—published 7/11/01, effective 9/1/01]</w:t>
      </w:r>
    </w:p>
    <w:p>
      <w:pPr>
        <w:spacing w:before="0" w:after="0"/>
        <w:ind w:left="120"/>
        <w:jc w:val="center"/>
      </w:pPr>
      <w:r>
        <w:rPr>
          <w:rFonts w:ascii="Times New Roman" w:hAnsi="Times New Roman"/>
          <w:b w:val="false"/>
          <w:i w:val="false"/>
          <w:color w:val="000000"/>
          <w:sz w:val="21"/>
        </w:rPr>
        <w:t>[Filed 9/11/01, Notice 7/11/01—published 10/3/01, effective 12/1/01]</w:t>
      </w:r>
    </w:p>
    <w:p>
      <w:pPr>
        <w:spacing w:before="0" w:after="0"/>
        <w:ind w:left="120"/>
        <w:jc w:val="center"/>
      </w:pPr>
      <w:r>
        <w:rPr>
          <w:rFonts w:ascii="Times New Roman" w:hAnsi="Times New Roman"/>
          <w:b w:val="false"/>
          <w:i w:val="false"/>
          <w:color w:val="000000"/>
          <w:sz w:val="21"/>
        </w:rPr>
        <w:t>[Filed emergency 7/11/02—published 8/7/02, effective 7/11/02]</w:t>
      </w:r>
    </w:p>
    <w:p>
      <w:pPr>
        <w:spacing w:before="0" w:after="0"/>
        <w:ind w:left="120"/>
        <w:jc w:val="center"/>
      </w:pPr>
      <w:r>
        <w:rPr>
          <w:rFonts w:ascii="Times New Roman" w:hAnsi="Times New Roman"/>
          <w:b w:val="false"/>
          <w:i w:val="false"/>
          <w:color w:val="000000"/>
          <w:sz w:val="21"/>
        </w:rPr>
        <w:t>[Filed emergency 7/10/03—published 8/6/03, effective 7/10/03]</w:t>
      </w:r>
    </w:p>
    <w:p>
      <w:pPr>
        <w:spacing w:before="0" w:after="0"/>
        <w:ind w:left="120"/>
        <w:jc w:val="center"/>
      </w:pPr>
      <w:r>
        <w:rPr>
          <w:rFonts w:ascii="Times New Roman" w:hAnsi="Times New Roman"/>
          <w:b w:val="false"/>
          <w:i w:val="false"/>
          <w:color w:val="000000"/>
          <w:sz w:val="21"/>
        </w:rPr>
        <w:t>[Filed 10/10/03, Notice 8/6/03—published 10/29/03, effective 1/1/04]</w:t>
      </w:r>
    </w:p>
    <w:p>
      <w:pPr>
        <w:spacing w:before="0" w:after="0"/>
        <w:ind w:left="120"/>
        <w:jc w:val="center"/>
      </w:pPr>
      <w:r>
        <w:rPr>
          <w:rFonts w:ascii="Times New Roman" w:hAnsi="Times New Roman"/>
          <w:b w:val="false"/>
          <w:i w:val="false"/>
          <w:color w:val="000000"/>
          <w:sz w:val="21"/>
        </w:rPr>
        <w:t>[Filed emergency 4/15/05 after Notice 3/2/05—published 5/11/05, effective 5/1/05]</w:t>
      </w:r>
    </w:p>
    <w:p>
      <w:pPr>
        <w:spacing w:before="0" w:after="0"/>
        <w:ind w:left="120"/>
        <w:jc w:val="center"/>
      </w:pPr>
      <w:r>
        <w:rPr>
          <w:rFonts w:ascii="Times New Roman" w:hAnsi="Times New Roman"/>
          <w:b w:val="false"/>
          <w:i w:val="false"/>
          <w:color w:val="000000"/>
          <w:sz w:val="21"/>
        </w:rPr>
        <w:t>[Filed emergency 6/17/05—published 7/6/05, effective 7/1/05]</w:t>
      </w:r>
    </w:p>
    <w:p>
      <w:pPr>
        <w:spacing w:before="0" w:after="0"/>
        <w:ind w:left="120"/>
        <w:jc w:val="center"/>
      </w:pPr>
      <w:r>
        <w:rPr>
          <w:rFonts w:ascii="Times New Roman" w:hAnsi="Times New Roman"/>
          <w:b w:val="false"/>
          <w:i w:val="false"/>
          <w:color w:val="000000"/>
          <w:sz w:val="21"/>
        </w:rPr>
        <w:t>[Filed 6/17/05, Notice 4/13/05—published 7/6/05, effective 9/1/05]</w:t>
      </w:r>
    </w:p>
    <w:p>
      <w:pPr>
        <w:spacing w:before="0" w:after="0"/>
        <w:ind w:left="120"/>
        <w:jc w:val="center"/>
      </w:pPr>
      <w:r>
        <w:rPr>
          <w:rFonts w:ascii="Times New Roman" w:hAnsi="Times New Roman"/>
          <w:b w:val="false"/>
          <w:i w:val="false"/>
          <w:color w:val="000000"/>
          <w:sz w:val="21"/>
        </w:rPr>
        <w:t>[Filed 11/16/05, Notices 7/6/05, 8/17/05—published 12/7/05, effective 1/11/06]</w:t>
      </w:r>
    </w:p>
    <w:p>
      <w:pPr>
        <w:spacing w:before="0" w:after="0"/>
        <w:ind w:left="120"/>
        <w:jc w:val="center"/>
      </w:pPr>
      <w:r>
        <w:rPr>
          <w:rFonts w:ascii="Times New Roman" w:hAnsi="Times New Roman"/>
          <w:b w:val="false"/>
          <w:i w:val="false"/>
          <w:color w:val="000000"/>
          <w:sz w:val="21"/>
        </w:rPr>
        <w:t>[Filed 12/13/06, Notice 9/27/06—published 1/3/07, effective 3/1/07]</w:t>
      </w:r>
    </w:p>
    <w:p>
      <w:pPr>
        <w:spacing w:before="0" w:after="0"/>
        <w:ind w:left="120"/>
        <w:jc w:val="center"/>
      </w:pPr>
      <w:r>
        <w:rPr>
          <w:rFonts w:ascii="Times New Roman" w:hAnsi="Times New Roman"/>
          <w:b w:val="false"/>
          <w:i w:val="false"/>
          <w:color w:val="000000"/>
          <w:sz w:val="21"/>
        </w:rPr>
        <w:t>[Filed 7/12/07, Notice 5/9/07—published 8/1/07, effective 9/5/07]</w:t>
      </w:r>
    </w:p>
    <w:p>
      <w:pPr>
        <w:spacing w:before="0" w:after="0"/>
        <w:ind w:left="120"/>
        <w:jc w:val="center"/>
      </w:pPr>
      <w:r>
        <w:rPr>
          <w:rFonts w:ascii="Times New Roman" w:hAnsi="Times New Roman"/>
          <w:b w:val="false"/>
          <w:i w:val="false"/>
          <w:color w:val="000000"/>
          <w:sz w:val="21"/>
        </w:rPr>
        <w:t>[Filed without Notice 11/14/07—published 12/5/07, effective 1/9/08]</w:t>
      </w:r>
    </w:p>
    <w:p>
      <w:pPr>
        <w:spacing w:before="0" w:after="0"/>
        <w:ind w:left="120"/>
        <w:jc w:val="center"/>
      </w:pPr>
      <w:r>
        <w:rPr>
          <w:rFonts w:ascii="Times New Roman" w:hAnsi="Times New Roman"/>
          <w:b w:val="false"/>
          <w:i w:val="false"/>
          <w:color w:val="000000"/>
          <w:sz w:val="21"/>
        </w:rPr>
        <w:t>[Filed Emergency ARC 8099B, IAB 9/9/09, effective 8/13/09]</w:t>
      </w:r>
    </w:p>
    <w:p>
      <w:pPr>
        <w:spacing w:before="0" w:after="0"/>
        <w:ind w:left="120"/>
        <w:jc w:val="center"/>
      </w:pPr>
      <w:r>
        <w:rPr>
          <w:rFonts w:ascii="Times New Roman" w:hAnsi="Times New Roman"/>
          <w:b w:val="false"/>
          <w:i w:val="false"/>
          <w:color w:val="000000"/>
          <w:sz w:val="21"/>
        </w:rPr>
        <w:t>[Filed ARC 9258B</w:t>
      </w:r>
      <w:r>
        <w:rPr>
          <w:rFonts w:ascii="Times New Roman" w:hAnsi="Times New Roman"/>
          <w:b w:val="false"/>
          <w:i w:val="false"/>
          <w:color w:val="000000"/>
          <w:sz w:val="21"/>
        </w:rPr>
        <w:t xml:space="preserve"> (Notice ARC 9027B, IAB 8/25/10)</w:t>
      </w:r>
      <w:r>
        <w:rPr>
          <w:rFonts w:ascii="Times New Roman" w:hAnsi="Times New Roman"/>
          <w:b w:val="false"/>
          <w:i w:val="false"/>
          <w:color w:val="000000"/>
          <w:sz w:val="21"/>
        </w:rPr>
        <w:t>, IAB 12/1/10, effective 2/1/11]</w:t>
      </w:r>
    </w:p>
    <w:p>
      <w:pPr>
        <w:spacing w:before="0" w:after="0"/>
        <w:ind w:left="120"/>
        <w:jc w:val="center"/>
      </w:pPr>
      <w:r>
        <w:rPr>
          <w:rFonts w:ascii="Times New Roman" w:hAnsi="Times New Roman"/>
          <w:b w:val="false"/>
          <w:i w:val="false"/>
          <w:color w:val="000000"/>
          <w:sz w:val="21"/>
        </w:rPr>
        <w:t>[Filed ARC 2427C</w:t>
      </w:r>
      <w:r>
        <w:rPr>
          <w:rFonts w:ascii="Times New Roman" w:hAnsi="Times New Roman"/>
          <w:b w:val="false"/>
          <w:i w:val="false"/>
          <w:color w:val="000000"/>
          <w:sz w:val="21"/>
        </w:rPr>
        <w:t xml:space="preserve"> (Notice ARC 2351C, IAB 1/6/16)</w:t>
      </w:r>
      <w:r>
        <w:rPr>
          <w:rFonts w:ascii="Times New Roman" w:hAnsi="Times New Roman"/>
          <w:b w:val="false"/>
          <w:i w:val="false"/>
          <w:color w:val="000000"/>
          <w:sz w:val="21"/>
        </w:rPr>
        <w:t>, IAB 3/2/16, effective 5/1/16]</w:t>
      </w:r>
    </w:p>
    <w:p>
      <w:pPr>
        <w:spacing w:before="0" w:after="0"/>
        <w:ind w:left="120"/>
        <w:jc w:val="center"/>
      </w:pPr>
      <w:r>
        <w:rPr>
          <w:rFonts w:ascii="Times New Roman" w:hAnsi="Times New Roman"/>
          <w:b w:val="false"/>
          <w:i w:val="false"/>
          <w:color w:val="000000"/>
          <w:sz w:val="21"/>
        </w:rPr>
        <w:t>[Filed ARC 4393C</w:t>
      </w:r>
      <w:r>
        <w:rPr>
          <w:rFonts w:ascii="Times New Roman" w:hAnsi="Times New Roman"/>
          <w:b w:val="false"/>
          <w:i w:val="false"/>
          <w:color w:val="000000"/>
          <w:sz w:val="21"/>
        </w:rPr>
        <w:t xml:space="preserve"> (Notice ARC 4239C, IAB 1/16/19)</w:t>
      </w:r>
      <w:r>
        <w:rPr>
          <w:rFonts w:ascii="Times New Roman" w:hAnsi="Times New Roman"/>
          <w:b w:val="false"/>
          <w:i w:val="false"/>
          <w:color w:val="000000"/>
          <w:sz w:val="21"/>
        </w:rPr>
        <w:t>, IAB 4/10/19, effective 6/1/19]</w:t>
      </w:r>
    </w:p>
    <w:p>
      <w:pPr>
        <w:spacing w:before="0" w:after="0"/>
        <w:ind w:left="120"/>
        <w:jc w:val="center"/>
      </w:pPr>
      <w:r>
        <w:rPr>
          <w:rFonts w:ascii="Times New Roman" w:hAnsi="Times New Roman"/>
          <w:b w:val="false"/>
          <w:i w:val="false"/>
          <w:color w:val="000000"/>
          <w:sz w:val="21"/>
        </w:rPr>
        <w:t>[Filed ARC 5142C</w:t>
      </w:r>
      <w:r>
        <w:rPr>
          <w:rFonts w:ascii="Times New Roman" w:hAnsi="Times New Roman"/>
          <w:b w:val="false"/>
          <w:i w:val="false"/>
          <w:color w:val="000000"/>
          <w:sz w:val="21"/>
        </w:rPr>
        <w:t xml:space="preserve"> (Notice ARC 4911C, IAB 2/12/20)</w:t>
      </w:r>
      <w:r>
        <w:rPr>
          <w:rFonts w:ascii="Times New Roman" w:hAnsi="Times New Roman"/>
          <w:b w:val="false"/>
          <w:i w:val="false"/>
          <w:color w:val="000000"/>
          <w:sz w:val="21"/>
        </w:rPr>
        <w:t>, IAB 8/12/20, effective 10/1/20]</w:t>
      </w:r>
    </w:p>
    <w:p>
      <w:pPr>
        <w:spacing w:before="0" w:after="0"/>
        <w:ind w:left="120"/>
        <w:jc w:val="center"/>
      </w:pPr>
      <w:r>
        <w:rPr>
          <w:rFonts w:ascii="Times New Roman" w:hAnsi="Times New Roman"/>
          <w:b w:val="false"/>
          <w:i w:val="false"/>
          <w:color w:val="000000"/>
          <w:sz w:val="21"/>
        </w:rPr>
        <w:t>[Filed ARC 6966C</w:t>
      </w:r>
      <w:r>
        <w:rPr>
          <w:rFonts w:ascii="Times New Roman" w:hAnsi="Times New Roman"/>
          <w:b w:val="false"/>
          <w:i w:val="false"/>
          <w:color w:val="000000"/>
          <w:sz w:val="21"/>
        </w:rPr>
        <w:t xml:space="preserve"> (Notice ARC 6839C, IAB 1/25/23)</w:t>
      </w:r>
      <w:r>
        <w:rPr>
          <w:rFonts w:ascii="Times New Roman" w:hAnsi="Times New Roman"/>
          <w:b w:val="false"/>
          <w:i w:val="false"/>
          <w:color w:val="000000"/>
          <w:sz w:val="21"/>
        </w:rPr>
        <w:t>, IAB 4/5/23, effective 6/1/23]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08.1.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co/chapter/217.pdf" Type="http://schemas.openxmlformats.org/officeDocument/2006/relationships/hyperlink" Id="rId7"/>
    <Relationship TargetMode="External" Target="https://www.legis.iowa.gov/docs/ico/chapter/235B.pdf" Type="http://schemas.openxmlformats.org/officeDocument/2006/relationships/hyperlink" Id="rId8"/>
    <Relationship TargetMode="External" Target="https://www.legis.iowa.gov/docs/ico/chapter/229.pdf" Type="http://schemas.openxmlformats.org/officeDocument/2006/relationships/hyperlink" Id="rId9"/>
    <Relationship TargetMode="External" Target="https://www.legis.iowa.gov/docs/ico/chapter/125.pdf" Type="http://schemas.openxmlformats.org/officeDocument/2006/relationships/hyperlink" Id="rId10"/>
    <Relationship TargetMode="External" Target="https://www.legis.iowa.gov/docs/ico/chapter/709.pdf" Type="http://schemas.openxmlformats.org/officeDocument/2006/relationships/hyperlink" Id="rId11"/>
    <Relationship TargetMode="External" Target="https://www.legis.iowa.gov/docs/ico/chapter/726.2.pdf" Type="http://schemas.openxmlformats.org/officeDocument/2006/relationships/hyperlink" Id="rId12"/>
    <Relationship TargetMode="External" Target="https://www.legis.iowa.gov/docs/ico/chapter/702.17.pdf" Type="http://schemas.openxmlformats.org/officeDocument/2006/relationships/hyperlink" Id="rId13"/>
    <Relationship TargetMode="External" Target="https://www.legis.iowa.gov/docs/ico/chapter/235B.9.pdf" Type="http://schemas.openxmlformats.org/officeDocument/2006/relationships/hyperlink" Id="rId14"/>
    <Relationship TargetMode="External" Target="https://www.legis.iowa.gov/docs/ico/chapter/235B.2.pdf" Type="http://schemas.openxmlformats.org/officeDocument/2006/relationships/hyperlink" Id="rId15"/>
    <Relationship TargetMode="External" Target="https://www.legis.iowa.gov/docs/ico/chapter/235B.5.pdf" Type="http://schemas.openxmlformats.org/officeDocument/2006/relationships/hyperlink" Id="rId16"/>
    <Relationship TargetMode="External" Target="https://www.legis.iowa.gov/docs/ico/chapter/235B.2.pdf" Type="http://schemas.openxmlformats.org/officeDocument/2006/relationships/hyperlink" Id="rId17"/>
    <Relationship TargetMode="External" Target="https://www.legis.iowa.gov/docs/ico/chapter/235B.2.pdf" Type="http://schemas.openxmlformats.org/officeDocument/2006/relationships/hyperlink" Id="rId18"/>
    <Relationship TargetMode="External" Target="https://www.legis.iowa.gov/docs/ico/chapter/235B.2.pdf" Type="http://schemas.openxmlformats.org/officeDocument/2006/relationships/hyperlink" Id="rId19"/>
    <Relationship TargetMode="External" Target="https://www.legis.iowa.gov/docs/ico/chapter/236.pdf" Type="http://schemas.openxmlformats.org/officeDocument/2006/relationships/hyperlink" Id="rId20"/>
    <Relationship TargetMode="External" Target="https://www.legis.iowa.gov/docs/ico/chapter/125.pdf" Type="http://schemas.openxmlformats.org/officeDocument/2006/relationships/hyperlink" Id="rId21"/>
    <Relationship TargetMode="External" Target="https://www.legis.iowa.gov/docs/ico/chapter/144A.pdf" Type="http://schemas.openxmlformats.org/officeDocument/2006/relationships/hyperlink" Id="rId22"/>
    <Relationship TargetMode="External" Target="https://www.legis.iowa.gov/docs/ico/chapter/222.pdf" Type="http://schemas.openxmlformats.org/officeDocument/2006/relationships/hyperlink" Id="rId23"/>
    <Relationship TargetMode="External" Target="https://www.legis.iowa.gov/docs/ico/chapter/229.pdf" Type="http://schemas.openxmlformats.org/officeDocument/2006/relationships/hyperlink" Id="rId24"/>
    <Relationship TargetMode="External" Target="https://www.legis.iowa.gov/docs/ico/chapter/633.pdf" Type="http://schemas.openxmlformats.org/officeDocument/2006/relationships/hyperlink" Id="rId25"/>
    <Relationship TargetMode="External" Target="https://www.legis.iowa.gov/docs/ico/chapter/235B.6.pdf" Type="http://schemas.openxmlformats.org/officeDocument/2006/relationships/hyperlink" Id="rId26"/>
    <Relationship TargetMode="External" Target="https://www.legis.iowa.gov/docs/ico/chapter/235B.3.pdf" Type="http://schemas.openxmlformats.org/officeDocument/2006/relationships/hyperlink" Id="rId27"/>
    <Relationship TargetMode="External" Target="https://www.legis.iowa.gov/docs/iac/rule/441.176.5.pdf" Type="http://schemas.openxmlformats.org/officeDocument/2006/relationships/hyperlink" Id="rId28"/>
    <Relationship TargetMode="External" Target="https://www.legis.iowa.gov/docs/ico/chapter/235B.2.pdf" Type="http://schemas.openxmlformats.org/officeDocument/2006/relationships/hyperlink" Id="rId29"/>
    <Relationship TargetMode="External" Target="https://www.legis.iowa.gov/docs/ico/chapter/235E.pdf" Type="http://schemas.openxmlformats.org/officeDocument/2006/relationships/hyperlink" Id="rId30"/>
    <Relationship TargetMode="External" Target="https://www.legis.iowa.gov/docs/ico/chapter/135B.1.pdf" Type="http://schemas.openxmlformats.org/officeDocument/2006/relationships/hyperlink" Id="rId31"/>
    <Relationship TargetMode="External" Target="https://www.legis.iowa.gov/docs/ico/chapter/135C.1.pdf" Type="http://schemas.openxmlformats.org/officeDocument/2006/relationships/hyperlink" Id="rId32"/>
    <Relationship TargetMode="External" Target="https://www.legis.iowa.gov/docs/ico/chapter/235B.6.pdf" Type="http://schemas.openxmlformats.org/officeDocument/2006/relationships/hyperlink" Id="rId33"/>
    <Relationship TargetMode="External" Target="https://www.legis.iowa.gov/docs/ico/chapter/235B.16A.pdf" Type="http://schemas.openxmlformats.org/officeDocument/2006/relationships/hyperlink" Id="rId34"/>
    <Relationship TargetMode="External" Target="https://www.legis.iowa.gov/docs/iac/rule/441.176.3.pdf" Type="http://schemas.openxmlformats.org/officeDocument/2006/relationships/hyperlink" Id="rId35"/>
    <Relationship TargetMode="External" Target="https://www.legis.iowa.gov/docs/iac/rule/441.176.6.pdf" Type="http://schemas.openxmlformats.org/officeDocument/2006/relationships/hyperlink" Id="rId36"/>
    <Relationship TargetMode="External" Target="https://www.legis.iowa.gov/docs/ico/chapter/235B.2.pdf" Type="http://schemas.openxmlformats.org/officeDocument/2006/relationships/hyperlink" Id="rId37"/>
    <Relationship TargetMode="External" Target="https://www.legis.iowa.gov/docs/ico/chapter/235B.7.pdf" Type="http://schemas.openxmlformats.org/officeDocument/2006/relationships/hyperlink" Id="rId38"/>
    <Relationship TargetMode="External" Target="https://www.legis.iowa.gov/docs/ico/chapter/235B.7.pdf" Type="http://schemas.openxmlformats.org/officeDocument/2006/relationships/hyperlink" Id="rId39"/>
    <Relationship TargetMode="External" Target="https://www.legis.iowa.gov/docs/ico/chapter/235B.6.pdf" Type="http://schemas.openxmlformats.org/officeDocument/2006/relationships/hyperlink" Id="rId40"/>
    <Relationship TargetMode="External" Target="https://www.legis.iowa.gov/docs/ico/chapter/22.7.pdf" Type="http://schemas.openxmlformats.org/officeDocument/2006/relationships/hyperlink" Id="rId41"/>
    <Relationship TargetMode="External" Target="https://www.legis.iowa.gov/docs/ico/chapter/235B.6.pdf" Type="http://schemas.openxmlformats.org/officeDocument/2006/relationships/hyperlink" Id="rId42"/>
    <Relationship TargetMode="External" Target="https://www.legis.iowa.gov/docs/ico/chapter/135C.33.pdf" Type="http://schemas.openxmlformats.org/officeDocument/2006/relationships/hyperlink" Id="rId43"/>
    <Relationship TargetMode="External" Target="https://www.legis.iowa.gov/docs/ico/chapter/235B.6.pdf" Type="http://schemas.openxmlformats.org/officeDocument/2006/relationships/hyperlink" Id="rId44"/>
    <Relationship TargetMode="External" Target="https://www.legis.iowa.gov/docs/ico/chapter/235B.8.pdf" Type="http://schemas.openxmlformats.org/officeDocument/2006/relationships/hyperlink" Id="rId45"/>
    <Relationship TargetMode="External" Target="https://www.legis.iowa.gov/docs/ico/chapter/235B.7.pdf" Type="http://schemas.openxmlformats.org/officeDocument/2006/relationships/hyperlink" Id="rId46"/>
    <Relationship TargetMode="External" Target="https://www.legis.iowa.gov/docs/ico/chapter/235B.6.pdf" Type="http://schemas.openxmlformats.org/officeDocument/2006/relationships/hyperlink" Id="rId47"/>
    <Relationship TargetMode="External" Target="https://www.legis.iowa.gov/docs/ico/chapter/235B.6.pdf" Type="http://schemas.openxmlformats.org/officeDocument/2006/relationships/hyperlink" Id="rId48"/>
    <Relationship TargetMode="External" Target="https://www.legis.iowa.gov/docs/ico/chapter/235B.6.pdf" Type="http://schemas.openxmlformats.org/officeDocument/2006/relationships/hyperlink" Id="rId49"/>
    <Relationship TargetMode="External" Target="https://www.legis.iowa.gov/docs/ico/chapter/235B.12.pdf" Type="http://schemas.openxmlformats.org/officeDocument/2006/relationships/hyperlink" Id="rId50"/>
    <Relationship TargetMode="External" Target="https://www.legis.iowa.gov/docs/ico/chapter/235B.10.pdf" Type="http://schemas.openxmlformats.org/officeDocument/2006/relationships/hyperlink" Id="rId51"/>
    <Relationship TargetMode="External" Target="https://www.legis.iowa.gov/docs/ico/chapter/235B.6.pdf" Type="http://schemas.openxmlformats.org/officeDocument/2006/relationships/hyperlink" Id="rId52"/>
    <Relationship TargetMode="External" Target="https://www.legis.iowa.gov/docs/ico/chapter/235B.12.pdf" Type="http://schemas.openxmlformats.org/officeDocument/2006/relationships/hyperlink" Id="rId53"/>
    <Relationship TargetMode="External" Target="https://www.legis.iowa.gov/docs/ico/chapter/235B.8.pdf" Type="http://schemas.openxmlformats.org/officeDocument/2006/relationships/hyperlink" Id="rId54"/>
    <Relationship TargetMode="External" Target="https://www.legis.iowa.gov/docs/ico/chapter/235B.10.pdf" Type="http://schemas.openxmlformats.org/officeDocument/2006/relationships/hyperlink" Id="rId55"/>
    <Relationship TargetMode="External" Target="https://www.legis.iowa.gov/docs/ico/chapter/235B.9.pdf" Type="http://schemas.openxmlformats.org/officeDocument/2006/relationships/hyperlink" Id="rId56"/>
    <Relationship TargetMode="External" Target="https://www.legis.iowa.gov/docs/ico/chapter/235B.9.pdf" Type="http://schemas.openxmlformats.org/officeDocument/2006/relationships/hyperlink" Id="rId57"/>
    <Relationship TargetMode="External" Target="https://www.legis.iowa.gov/docs/iac/rule/441.176.9.pdf" Type="http://schemas.openxmlformats.org/officeDocument/2006/relationships/hyperlink" Id="rId58"/>
    <Relationship TargetMode="External" Target="https://www.legis.iowa.gov/docs/ico/chapter/235B.6.pdf" Type="http://schemas.openxmlformats.org/officeDocument/2006/relationships/hyperlink" Id="rId59"/>
    <Relationship TargetMode="External" Target="https://www.legis.iowa.gov/docs/ico/chapter/235B.6.pdf" Type="http://schemas.openxmlformats.org/officeDocument/2006/relationships/hyperlink" Id="rId60"/>
    <Relationship TargetMode="External" Target="https://www.legis.iowa.gov/docs/ico/chapter/235B.8.pdf" Type="http://schemas.openxmlformats.org/officeDocument/2006/relationships/hyperlink" Id="rId61"/>
    <Relationship TargetMode="External" Target="https://www.legis.iowa.gov/docs/iac/chapter/441.176.pdf" Type="http://schemas.openxmlformats.org/officeDocument/2006/relationships/hyperlink" Id="rId62"/>
    <Relationship TargetMode="External" Target="https://www.legis.iowa.gov/docs/ico/chapter/235B.10.pdf" Type="http://schemas.openxmlformats.org/officeDocument/2006/relationships/hyperlink" Id="rId63"/>
    <Relationship TargetMode="External" Target="https://www.legis.iowa.gov/docs/iac/chapter/441.7.pdf" Type="http://schemas.openxmlformats.org/officeDocument/2006/relationships/hyperlink" Id="rId64"/>
    <Relationship TargetMode="External" Target="https://www.legis.iowa.gov/docs/ico/chapter/235B.pdf" Type="http://schemas.openxmlformats.org/officeDocument/2006/relationships/hyperlink" Id="rId6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