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172</w:t>
      </w:r>
    </w:p>
    <w:p>
      <w:pPr>
        <w:spacing w:before="0" w:after="0"/>
        <w:ind w:left="120"/>
        <w:jc w:val="center"/>
      </w:pPr>
      <w:r>
        <w:rPr>
          <w:rFonts w:ascii="Times New Roman" w:hAnsi="Times New Roman"/>
          <w:b w:val="false"/>
          <w:i w:val="false"/>
          <w:color w:val="000000"/>
          <w:sz w:val="21"/>
        </w:rPr>
        <w:t>FAMILY-CENTERED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12/1/31</w:t>
      </w:r>
    </w:p>
    <w:p>
      <w:pPr>
        <w:spacing w:before="0" w:after="0"/>
        <w:ind w:left="120"/>
        <w:jc w:val="both"/>
      </w:pPr>
      <w:r>
        <w:rPr>
          <w:rFonts w:ascii="Times New Roman" w:hAnsi="Times New Roman"/>
          <w:b/>
          <w:i w:val="false"/>
          <w:color w:val="000000"/>
          <w:sz w:val="22"/>
        </w:rPr>
        <w:t>441—172.1</w:t>
      </w:r>
      <w:r>
        <w:rPr>
          <w:rFonts w:ascii="Times New Roman" w:hAnsi="Times New Roman"/>
          <w:b/>
          <w:i w:val="false"/>
          <w:color w:val="000000"/>
          <w:sz w:val="22"/>
        </w:rPr>
        <w:t xml:space="preserve">(234)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w:t>
      </w:r>
      <w:r>
        <w:rPr>
          <w:rFonts w:ascii="Times New Roman" w:hAnsi="Times New Roman"/>
          <w:b w:val="false"/>
          <w:i w:val="false"/>
          <w:color w:val="000000"/>
          <w:sz w:val="22"/>
        </w:rPr>
        <w:t> </w:t>
      </w:r>
      <w:r>
        <w:rPr>
          <w:rFonts w:ascii="Times New Roman" w:hAnsi="Times New Roman"/>
          <w:b w:val="false"/>
          <w:i w:val="false"/>
          <w:color w:val="000000"/>
          <w:sz w:val="22"/>
        </w:rPr>
        <w:t>means at least one child in a household is involved in department services with a department social work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“children”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or persons who meet the definition of a child in Iowa Code section </w:t>
      </w:r>
      <w:hyperlink r:id="rId5">
        <w:r>
          <w:rPr>
            <w:rStyle w:val="Hyperlink"/>
            <w:rFonts w:ascii="Times New Roman" w:hAnsi="Times New Roman"/>
            <w:b w:val="false"/>
            <w:i w:val="false"/>
            <w:color w:val="000000"/>
            <w:sz w:val="22"/>
          </w:rPr>
          <w:t>232.68(1)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abuse”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one or more of the categories of child abuse defined in Iowa Code section </w:t>
      </w:r>
      <w:hyperlink r:id="rId6">
        <w:r>
          <w:rPr>
            <w:rStyle w:val="Hyperlink"/>
            <w:rFonts w:ascii="Times New Roman" w:hAnsi="Times New Roman"/>
            <w:b w:val="false"/>
            <w:i w:val="false"/>
            <w:color w:val="000000"/>
            <w:sz w:val="22"/>
          </w:rPr>
          <w:t>232.68(2)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abuse assessment”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assessment process by which the department responds to all accepted reports that allege child abuse as defined in Iowa Code section </w:t>
      </w:r>
      <w:hyperlink r:id="rId7">
        <w:r>
          <w:rPr>
            <w:rStyle w:val="Hyperlink"/>
            <w:rFonts w:ascii="Times New Roman" w:hAnsi="Times New Roman"/>
            <w:b w:val="false"/>
            <w:i w:val="false"/>
            <w:color w:val="000000"/>
            <w:sz w:val="22"/>
          </w:rPr>
          <w:t>232.68(2)</w:t>
        </w:r>
      </w:hyperlink>
      <w:r>
        <w:rPr>
          <w:rFonts w:ascii="Times New Roman" w:hAnsi="Times New Roman"/>
          <w:b w:val="false"/>
          <w:i w:val="false"/>
          <w:color w:val="000000"/>
          <w:sz w:val="22"/>
        </w:rPr>
        <w:t xml:space="preserve">, or that allege child abuse as defined in Iowa Code section </w:t>
      </w:r>
      <w:hyperlink r:id="rId8">
        <w:r>
          <w:rPr>
            <w:rStyle w:val="Hyperlink"/>
            <w:rFonts w:ascii="Times New Roman" w:hAnsi="Times New Roman"/>
            <w:b w:val="false"/>
            <w:i w:val="false"/>
            <w:color w:val="000000"/>
            <w:sz w:val="22"/>
          </w:rPr>
          <w:t>232.68(2)</w:t>
        </w:r>
      </w:hyperlink>
      <w:r>
        <w:rPr>
          <w:rFonts w:ascii="Times New Roman" w:hAnsi="Times New Roman"/>
          <w:b w:val="false"/>
          <w:i w:val="false"/>
          <w:color w:val="000000"/>
          <w:sz w:val="22"/>
        </w:rPr>
        <w:t xml:space="preserve"> that also allege imminent danger, death, or injury to a child. A child abuse assessment results in a disposition and a determination of whether a case meets the definition of child abuse and a determination of whether criteria for placement on the registry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in need of assistance”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set forth in Iowa Code section </w:t>
      </w:r>
      <w:hyperlink r:id="rId9">
        <w:r>
          <w:rPr>
            <w:rStyle w:val="Hyperlink"/>
            <w:rFonts w:ascii="Times New Roman" w:hAnsi="Times New Roman"/>
            <w:b w:val="false"/>
            <w:i w:val="false"/>
            <w:color w:val="000000"/>
            <w:sz w:val="22"/>
          </w:rPr>
          <w:t>232.2(8)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private organization authorized to do business in Iowa that has entered into a contract with the department to provide one or more of the services defined in Iowa Code section </w:t>
      </w:r>
      <w:hyperlink r:id="rId10">
        <w:r>
          <w:rPr>
            <w:rStyle w:val="Hyperlink"/>
            <w:rFonts w:ascii="Times New Roman" w:hAnsi="Times New Roman"/>
            <w:b w:val="false"/>
            <w:i w:val="false"/>
            <w:color w:val="000000"/>
            <w:sz w:val="22"/>
          </w:rPr>
          <w:t>232.102A(2)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“Family-centered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services provided by contract pursuant to Iowa Code section </w:t>
      </w:r>
      <w:hyperlink r:id="rId11">
        <w:r>
          <w:rPr>
            <w:rStyle w:val="Hyperlink"/>
            <w:rFonts w:ascii="Times New Roman" w:hAnsi="Times New Roman"/>
            <w:b w:val="false"/>
            <w:i w:val="false"/>
            <w:color w:val="000000"/>
            <w:sz w:val="22"/>
          </w:rPr>
          <w:t>232.102A(2)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 risk assessment”</w:t>
      </w:r>
      <w:r>
        <w:rPr>
          <w:rFonts w:ascii="Times New Roman" w:hAnsi="Times New Roman"/>
          <w:b w:val="false"/>
          <w:i w:val="false"/>
          <w:color w:val="000000"/>
          <w:sz w:val="22"/>
        </w:rPr>
        <w:t> </w:t>
      </w:r>
      <w:r>
        <w:rPr>
          <w:rFonts w:ascii="Times New Roman" w:hAnsi="Times New Roman"/>
          <w:b w:val="false"/>
          <w:i w:val="false"/>
          <w:color w:val="000000"/>
          <w:sz w:val="22"/>
        </w:rPr>
        <w:t>means the assessment of probability or likelihood a child will suffer maltreatment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“Household”</w:t>
      </w:r>
      <w:r>
        <w:rPr>
          <w:rFonts w:ascii="Times New Roman" w:hAnsi="Times New Roman"/>
          <w:b w:val="false"/>
          <w:i w:val="false"/>
          <w:color w:val="000000"/>
          <w:sz w:val="22"/>
        </w:rPr>
        <w:t> </w:t>
      </w:r>
      <w:r>
        <w:rPr>
          <w:rFonts w:ascii="Times New Roman" w:hAnsi="Times New Roman"/>
          <w:b w:val="false"/>
          <w:i w:val="false"/>
          <w:color w:val="000000"/>
          <w:sz w:val="22"/>
        </w:rPr>
        <w:t>means the place where a child resides.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“Kinship foster caregiver”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set forth in </w:t>
      </w:r>
      <w:hyperlink r:id="rId12">
        <w:r>
          <w:rPr>
            <w:rStyle w:val="Hyperlink"/>
            <w:rFonts w:ascii="Times New Roman" w:hAnsi="Times New Roman"/>
            <w:b w:val="false"/>
            <w:i w:val="false"/>
            <w:color w:val="000000"/>
            <w:sz w:val="22"/>
          </w:rPr>
          <w:t>441—Chapter 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“Permanency”</w:t>
      </w:r>
      <w:r>
        <w:rPr>
          <w:rFonts w:ascii="Times New Roman" w:hAnsi="Times New Roman"/>
          <w:b w:val="false"/>
          <w:i w:val="false"/>
          <w:color w:val="000000"/>
          <w:sz w:val="22"/>
        </w:rPr>
        <w:t> </w:t>
      </w:r>
      <w:r>
        <w:rPr>
          <w:rFonts w:ascii="Times New Roman" w:hAnsi="Times New Roman"/>
          <w:b w:val="false"/>
          <w:i w:val="false"/>
          <w:color w:val="000000"/>
          <w:sz w:val="22"/>
        </w:rPr>
        <w:t>means a child has a safe, stable, custodial environment in which to grow up and a lifelong relationship with a nurturing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“Protective capacities”</w:t>
      </w:r>
      <w:r>
        <w:rPr>
          <w:rFonts w:ascii="Times New Roman" w:hAnsi="Times New Roman"/>
          <w:b w:val="false"/>
          <w:i w:val="false"/>
          <w:color w:val="000000"/>
          <w:sz w:val="22"/>
        </w:rPr>
        <w:t> </w:t>
      </w:r>
      <w:r>
        <w:rPr>
          <w:rFonts w:ascii="Times New Roman" w:hAnsi="Times New Roman"/>
          <w:b w:val="false"/>
          <w:i w:val="false"/>
          <w:color w:val="000000"/>
          <w:sz w:val="22"/>
        </w:rPr>
        <w:t>means the family strengths or resources that reduce, control, or prevent risks from arising or from having an unsafe impact on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“Risk”</w:t>
      </w:r>
      <w:r>
        <w:rPr>
          <w:rFonts w:ascii="Times New Roman" w:hAnsi="Times New Roman"/>
          <w:b w:val="false"/>
          <w:i w:val="false"/>
          <w:color w:val="000000"/>
          <w:sz w:val="22"/>
        </w:rPr>
        <w:t> </w:t>
      </w:r>
      <w:r>
        <w:rPr>
          <w:rFonts w:ascii="Times New Roman" w:hAnsi="Times New Roman"/>
          <w:b w:val="false"/>
          <w:i w:val="false"/>
          <w:color w:val="000000"/>
          <w:sz w:val="22"/>
        </w:rPr>
        <w:t>means the probability or likelihood that a child will experience maltreatment.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“Safe”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“safety”</w:t>
      </w:r>
      <w:r>
        <w:rPr>
          <w:rFonts w:ascii="Times New Roman" w:hAnsi="Times New Roman"/>
          <w:b w:val="false"/>
          <w:i w:val="false"/>
          <w:color w:val="000000"/>
          <w:sz w:val="22"/>
        </w:rPr>
        <w:t> </w:t>
      </w:r>
      <w:r>
        <w:rPr>
          <w:rFonts w:ascii="Times New Roman" w:hAnsi="Times New Roman"/>
          <w:b w:val="false"/>
          <w:i w:val="false"/>
          <w:color w:val="000000"/>
          <w:sz w:val="22"/>
        </w:rPr>
        <w:t>means that no signs of present or impending danger to a child are identified or that one or more signs of present or impending danger are identified but the child’s degree of vulnerability or the caregiver’s protective capacities offset the current threat. The child is not likely to be in imminent danger of maltreatment.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0672D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441—172.2</w:t>
      </w:r>
      <w:r>
        <w:rPr>
          <w:rFonts w:ascii="Times New Roman" w:hAnsi="Times New Roman"/>
          <w:b/>
          <w:i w:val="false"/>
          <w:color w:val="000000"/>
          <w:sz w:val="22"/>
        </w:rPr>
        <w:t xml:space="preserve">(234) </w:t>
      </w:r>
      <w:r>
        <w:rPr>
          <w:rFonts w:ascii="Times New Roman" w:hAnsi="Times New Roman"/>
          <w:b/>
          <w:i w:val="false"/>
          <w:color w:val="000000"/>
          <w:sz w:val="22"/>
        </w:rPr>
        <w:t xml:space="preserve">Family-centered services. </w:t>
      </w:r>
      <w:r>
        <w:rPr>
          <w:rFonts w:ascii="Times New Roman" w:hAnsi="Times New Roman"/>
          <w:b w:val="false"/>
          <w:i w:val="false"/>
          <w:color w:val="000000"/>
          <w:sz w:val="22"/>
        </w:rPr>
        <w:t>Family-centered services are services designed to prevent the child from entering foster care and to assist the family when the needs of the child, parent, or kinship foster caregiver are directly related to the safety, permanency, or well-being of the child. The outcome of the services may be to maintain the child with a parent or in the home of the kinship foster caregiver, to reunify the child safely with a parent or kinship foster caregiver, or to achieve permanent family connections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172.2(1)</w:t>
      </w:r>
      <w:r>
        <w:rPr>
          <w:rFonts w:ascii="Times New Roman" w:hAnsi="Times New Roman"/>
          <w:b w:val="false"/>
          <w:i w:val="false"/>
          <w:color w:val="000000"/>
          <w:sz w:val="22"/>
        </w:rPr>
        <w:t> </w:t>
      </w:r>
      <w:r>
        <w:rPr>
          <w:rFonts w:ascii="Times New Roman" w:hAnsi="Times New Roman"/>
          <w:b w:val="false"/>
          <w:i w:val="false"/>
          <w:color w:val="000000"/>
          <w:sz w:val="22"/>
        </w:rPr>
        <w:t>Family-centered services provide interventions and supports based on identified needs of children and families that have come to the department’s attention because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Evaluation of a child abuse assessment or child in need of assistance assessment and the family’s risk assessment score;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child’s adjudication as a child in need of assistance pursuant to Iowa Code section </w:t>
      </w:r>
      <w:hyperlink r:id="rId13">
        <w:r>
          <w:rPr>
            <w:rStyle w:val="Hyperlink"/>
            <w:rFonts w:ascii="Times New Roman" w:hAnsi="Times New Roman"/>
            <w:b w:val="false"/>
            <w:i w:val="false"/>
            <w:color w:val="000000"/>
            <w:sz w:val="22"/>
          </w:rPr>
          <w:t>232.2</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child’s placement out of home under the department’s care and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172.2(2)</w:t>
      </w:r>
      <w:r>
        <w:rPr>
          <w:rFonts w:ascii="Times New Roman" w:hAnsi="Times New Roman"/>
          <w:b w:val="false"/>
          <w:i w:val="false"/>
          <w:color w:val="000000"/>
          <w:sz w:val="22"/>
        </w:rPr>
        <w:t> </w:t>
      </w:r>
      <w:r>
        <w:rPr>
          <w:rFonts w:ascii="Times New Roman" w:hAnsi="Times New Roman"/>
          <w:b w:val="false"/>
          <w:i w:val="false"/>
          <w:color w:val="000000"/>
          <w:sz w:val="22"/>
        </w:rPr>
        <w:t>Family-centered services are designed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and build on the family’s strengths and enhance the family’s protective capacities;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Address the risk factors that affect the child’s safety, permanency, and well-being;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Strengthen family connections to community resources and informal support systems in order to promote greater self-reliance.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172.2(3)</w:t>
      </w:r>
      <w:r>
        <w:rPr>
          <w:rFonts w:ascii="Times New Roman" w:hAnsi="Times New Roman"/>
          <w:b w:val="false"/>
          <w:i w:val="false"/>
          <w:color w:val="000000"/>
          <w:sz w:val="22"/>
        </w:rPr>
        <w:t> </w:t>
      </w:r>
      <w:r>
        <w:rPr>
          <w:rFonts w:ascii="Times New Roman" w:hAnsi="Times New Roman"/>
          <w:b w:val="false"/>
          <w:i w:val="false"/>
          <w:color w:val="000000"/>
          <w:sz w:val="22"/>
        </w:rPr>
        <w:t>Family-centered services will utilize evidence-based interventions to the greatest possible extent.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172.2(4)</w:t>
      </w:r>
      <w:r>
        <w:rPr>
          <w:rFonts w:ascii="Times New Roman" w:hAnsi="Times New Roman"/>
          <w:b w:val="false"/>
          <w:i w:val="false"/>
          <w:color w:val="000000"/>
          <w:sz w:val="22"/>
        </w:rPr>
        <w:t> </w:t>
      </w:r>
      <w:r>
        <w:rPr>
          <w:rFonts w:ascii="Times New Roman" w:hAnsi="Times New Roman"/>
          <w:b w:val="false"/>
          <w:i w:val="false"/>
          <w:color w:val="000000"/>
          <w:sz w:val="22"/>
        </w:rPr>
        <w:t>Family-centered services may be offered to the following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child eligible for services under the provisions laid out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sibling of that child who resides in the same household at the time of service referral or moves into the household during the service delivery period;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parent, stepparent, or kinship foster caregiver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172.2(5)</w:t>
      </w:r>
      <w:r>
        <w:rPr>
          <w:rFonts w:ascii="Times New Roman" w:hAnsi="Times New Roman"/>
          <w:b w:val="false"/>
          <w:i w:val="false"/>
          <w:color w:val="000000"/>
          <w:sz w:val="22"/>
        </w:rPr>
        <w:t> </w:t>
      </w:r>
      <w:r>
        <w:rPr>
          <w:rFonts w:ascii="Times New Roman" w:hAnsi="Times New Roman"/>
          <w:b w:val="false"/>
          <w:i w:val="false"/>
          <w:color w:val="000000"/>
          <w:sz w:val="22"/>
        </w:rPr>
        <w:t>During the time that a child and the child’s family are approved to receive family-centered services on an open case, the department will be responsible for maintaining case management, including contact with the child and family to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factors that present risks of harm to the safety and well-being of all children in the family are being adequately addressed;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and supports are in place to achieve the child’s permanency goal.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0672D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441—172.3</w:t>
      </w:r>
      <w:r>
        <w:rPr>
          <w:rFonts w:ascii="Times New Roman" w:hAnsi="Times New Roman"/>
          <w:b/>
          <w:i w:val="false"/>
          <w:color w:val="000000"/>
          <w:sz w:val="22"/>
        </w:rPr>
        <w:t xml:space="preserve">(234) </w:t>
      </w:r>
      <w:r>
        <w:rPr>
          <w:rFonts w:ascii="Times New Roman" w:hAnsi="Times New Roman"/>
          <w:b/>
          <w:i w:val="false"/>
          <w:color w:val="000000"/>
          <w:sz w:val="22"/>
        </w:rPr>
        <w:t xml:space="preserve">Authorization. </w:t>
      </w:r>
      <w:r>
        <w:rPr>
          <w:rFonts w:ascii="Times New Roman" w:hAnsi="Times New Roman"/>
          <w:b w:val="false"/>
          <w:i w:val="false"/>
          <w:color w:val="000000"/>
          <w:sz w:val="22"/>
        </w:rPr>
        <w:t>When the department has approved provision of family-centered services for a child and family, the department will notify the contractor by issuing the referral and authorization for child welfare services form. This authorization form will indicate: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172.3(1)</w:t>
      </w:r>
      <w:r>
        <w:rPr>
          <w:rFonts w:ascii="Times New Roman" w:hAnsi="Times New Roman"/>
          <w:b w:val="false"/>
          <w:i w:val="false"/>
          <w:color w:val="000000"/>
          <w:sz w:val="22"/>
        </w:rPr>
        <w:t> </w:t>
      </w:r>
      <w:r>
        <w:rPr>
          <w:rFonts w:ascii="Times New Roman" w:hAnsi="Times New Roman"/>
          <w:b w:val="false"/>
          <w:i w:val="false"/>
          <w:color w:val="000000"/>
          <w:sz w:val="22"/>
        </w:rPr>
        <w:t>The specific service category authorized;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172.3(2)</w:t>
      </w:r>
      <w:r>
        <w:rPr>
          <w:rFonts w:ascii="Times New Roman" w:hAnsi="Times New Roman"/>
          <w:b w:val="false"/>
          <w:i w:val="false"/>
          <w:color w:val="000000"/>
          <w:sz w:val="22"/>
        </w:rPr>
        <w:t> </w:t>
      </w:r>
      <w:r>
        <w:rPr>
          <w:rFonts w:ascii="Times New Roman" w:hAnsi="Times New Roman"/>
          <w:b w:val="false"/>
          <w:i w:val="false"/>
          <w:color w:val="000000"/>
          <w:sz w:val="22"/>
        </w:rPr>
        <w:t>The duration of the authorization.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0672D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441—172.4</w:t>
      </w:r>
      <w:r>
        <w:rPr>
          <w:rFonts w:ascii="Times New Roman" w:hAnsi="Times New Roman"/>
          <w:b/>
          <w:i w:val="false"/>
          <w:color w:val="000000"/>
          <w:sz w:val="22"/>
        </w:rPr>
        <w:t xml:space="preserve">(234) </w:t>
      </w:r>
      <w:r>
        <w:rPr>
          <w:rFonts w:ascii="Times New Roman" w:hAnsi="Times New Roman"/>
          <w:b/>
          <w:i w:val="false"/>
          <w:color w:val="000000"/>
          <w:sz w:val="22"/>
        </w:rPr>
        <w:t xml:space="preserve">Client appeals. </w:t>
      </w:r>
      <w:r>
        <w:rPr>
          <w:rFonts w:ascii="Times New Roman" w:hAnsi="Times New Roman"/>
          <w:b w:val="false"/>
          <w:i w:val="false"/>
          <w:color w:val="000000"/>
          <w:sz w:val="22"/>
        </w:rPr>
        <w:t xml:space="preserve">Clients may appeal the department’s decision pursuant to </w:t>
      </w:r>
      <w:hyperlink r:id="rId14">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client’s application for services as described in this chapter is denied,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services are terminated.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0672D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5/16/07, Notice 1/31/07—published 6/6/07, effective 10/1/07]</w:t>
      </w:r>
    </w:p>
    <w:p>
      <w:pPr>
        <w:spacing w:before="0" w:after="0"/>
        <w:ind w:left="120"/>
        <w:jc w:val="center"/>
      </w:pPr>
      <w:r>
        <w:rPr>
          <w:rFonts w:ascii="Times New Roman" w:hAnsi="Times New Roman"/>
          <w:b w:val="false"/>
          <w:i w:val="false"/>
          <w:color w:val="000000"/>
          <w:sz w:val="21"/>
        </w:rPr>
        <w:t>[Filed emergency 11/14/07—published 12/5/07, effective 11/15/07]</w:t>
      </w:r>
    </w:p>
    <w:p>
      <w:pPr>
        <w:spacing w:before="0" w:after="0"/>
        <w:ind w:left="120"/>
        <w:jc w:val="center"/>
      </w:pPr>
      <w:r>
        <w:rPr>
          <w:rFonts w:ascii="Times New Roman" w:hAnsi="Times New Roman"/>
          <w:b w:val="false"/>
          <w:i w:val="false"/>
          <w:color w:val="000000"/>
          <w:sz w:val="21"/>
        </w:rPr>
        <w:t>[Filed 2/13/08, Notice 12/5/07—published 3/12/08, effective 4/16/08]</w:t>
      </w:r>
    </w:p>
    <w:p>
      <w:pPr>
        <w:spacing w:before="0" w:after="0"/>
        <w:ind w:left="120"/>
        <w:jc w:val="center"/>
      </w:pPr>
      <w:r>
        <w:rPr>
          <w:rFonts w:ascii="Times New Roman" w:hAnsi="Times New Roman"/>
          <w:b w:val="false"/>
          <w:i w:val="false"/>
          <w:color w:val="000000"/>
          <w:sz w:val="21"/>
        </w:rPr>
        <w:t>[Filed ARC 9491B</w:t>
      </w:r>
      <w:r>
        <w:rPr>
          <w:rFonts w:ascii="Times New Roman" w:hAnsi="Times New Roman"/>
          <w:b w:val="false"/>
          <w:i w:val="false"/>
          <w:color w:val="000000"/>
          <w:sz w:val="21"/>
        </w:rPr>
        <w:t xml:space="preserve"> (Notice ARC 9353B, IAB 2/9/11)</w:t>
      </w:r>
      <w:r>
        <w:rPr>
          <w:rFonts w:ascii="Times New Roman" w:hAnsi="Times New Roman"/>
          <w:b w:val="false"/>
          <w:i w:val="false"/>
          <w:color w:val="000000"/>
          <w:sz w:val="21"/>
        </w:rPr>
        <w:t>, IAB 5/4/11, effective 7/1/11]</w:t>
      </w:r>
    </w:p>
    <w:p>
      <w:pPr>
        <w:spacing w:before="0" w:after="0"/>
        <w:ind w:left="120"/>
        <w:jc w:val="center"/>
      </w:pPr>
      <w:r>
        <w:rPr>
          <w:rFonts w:ascii="Times New Roman" w:hAnsi="Times New Roman"/>
          <w:b w:val="false"/>
          <w:i w:val="false"/>
          <w:color w:val="000000"/>
          <w:sz w:val="21"/>
        </w:rPr>
        <w:t>[Filed ARC 1156C</w:t>
      </w:r>
      <w:r>
        <w:rPr>
          <w:rFonts w:ascii="Times New Roman" w:hAnsi="Times New Roman"/>
          <w:b w:val="false"/>
          <w:i w:val="false"/>
          <w:color w:val="000000"/>
          <w:sz w:val="21"/>
        </w:rPr>
        <w:t xml:space="preserve"> (Notice ARC 0915C,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2885C</w:t>
      </w:r>
      <w:r>
        <w:rPr>
          <w:rFonts w:ascii="Times New Roman" w:hAnsi="Times New Roman"/>
          <w:b w:val="false"/>
          <w:i w:val="false"/>
          <w:color w:val="000000"/>
          <w:sz w:val="21"/>
        </w:rPr>
        <w:t xml:space="preserve"> (Notice ARC 2771C, IAB 10/12/16)</w:t>
      </w:r>
      <w:r>
        <w:rPr>
          <w:rFonts w:ascii="Times New Roman" w:hAnsi="Times New Roman"/>
          <w:b w:val="false"/>
          <w:i w:val="false"/>
          <w:color w:val="000000"/>
          <w:sz w:val="21"/>
        </w:rPr>
        <w:t>, IAB 1/4/17, effective 3/1/17]</w:t>
      </w:r>
    </w:p>
    <w:p>
      <w:pPr>
        <w:spacing w:before="0" w:after="0"/>
        <w:ind w:left="120"/>
        <w:jc w:val="center"/>
      </w:pPr>
      <w:r>
        <w:rPr>
          <w:rFonts w:ascii="Times New Roman" w:hAnsi="Times New Roman"/>
          <w:b w:val="false"/>
          <w:i w:val="false"/>
          <w:color w:val="000000"/>
          <w:sz w:val="21"/>
        </w:rPr>
        <w:t>[Filed ARC 5248C</w:t>
      </w:r>
      <w:r>
        <w:rPr>
          <w:rFonts w:ascii="Times New Roman" w:hAnsi="Times New Roman"/>
          <w:b w:val="false"/>
          <w:i w:val="false"/>
          <w:color w:val="000000"/>
          <w:sz w:val="21"/>
        </w:rPr>
        <w:t xml:space="preserve"> (Notice ARC 5131C, IAB 8/12/20)</w:t>
      </w:r>
      <w:r>
        <w:rPr>
          <w:rFonts w:ascii="Times New Roman" w:hAnsi="Times New Roman"/>
          <w:b w:val="false"/>
          <w:i w:val="false"/>
          <w:color w:val="000000"/>
          <w:sz w:val="21"/>
        </w:rPr>
        <w:t>, IAB 11/4/20, effective 1/1/21]</w:t>
      </w:r>
    </w:p>
    <w:p>
      <w:pPr>
        <w:spacing w:before="0" w:after="0"/>
        <w:ind w:left="120"/>
        <w:jc w:val="center"/>
      </w:pPr>
      <w:r>
        <w:rPr>
          <w:rFonts w:ascii="Times New Roman" w:hAnsi="Times New Roman"/>
          <w:b w:val="false"/>
          <w:i w:val="false"/>
          <w:color w:val="000000"/>
          <w:sz w:val="21"/>
        </w:rPr>
        <w:t>[Filed ARC 6936C</w:t>
      </w:r>
      <w:r>
        <w:rPr>
          <w:rFonts w:ascii="Times New Roman" w:hAnsi="Times New Roman"/>
          <w:b w:val="false"/>
          <w:i w:val="false"/>
          <w:color w:val="000000"/>
          <w:sz w:val="21"/>
        </w:rPr>
        <w:t xml:space="preserve"> (Notice ARC 6768C, IAB 12/28/22)</w:t>
      </w:r>
      <w:r>
        <w:rPr>
          <w:rFonts w:ascii="Times New Roman" w:hAnsi="Times New Roman"/>
          <w:b w:val="false"/>
          <w:i w:val="false"/>
          <w:color w:val="000000"/>
          <w:sz w:val="21"/>
        </w:rPr>
        <w:t>, IAB 3/8/23, effective 5/1/23]</w:t>
      </w:r>
    </w:p>
    <w:p>
      <w:pPr>
        <w:spacing w:before="0" w:after="0"/>
        <w:ind w:left="120"/>
        <w:jc w:val="center"/>
      </w:pPr>
      <w:r>
        <w:rPr>
          <w:rFonts w:ascii="Times New Roman" w:hAnsi="Times New Roman"/>
          <w:b w:val="false"/>
          <w:i w:val="false"/>
          <w:color w:val="000000"/>
          <w:sz w:val="21"/>
        </w:rPr>
        <w:t>[Filed ARC 0672D</w:t>
      </w:r>
      <w:r>
        <w:rPr>
          <w:rFonts w:ascii="Times New Roman" w:hAnsi="Times New Roman"/>
          <w:b w:val="false"/>
          <w:i w:val="false"/>
          <w:color w:val="000000"/>
          <w:sz w:val="21"/>
        </w:rPr>
        <w:t xml:space="preserve"> (Notice ARC 0444D, IAB 7/22/26)</w:t>
      </w:r>
      <w:r>
        <w:rPr>
          <w:rFonts w:ascii="Times New Roman" w:hAnsi="Times New Roman"/>
          <w:b w:val="false"/>
          <w:i w:val="false"/>
          <w:color w:val="000000"/>
          <w:sz w:val="21"/>
        </w:rPr>
        <w:t>, IAB 10/14/26, effective 12/1/26]</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68.pdf" Type="http://schemas.openxmlformats.org/officeDocument/2006/relationships/hyperlink" Id="rId5"/>
    <Relationship TargetMode="External" Target="https://www.legis.iowa.gov/docs/ico/chapter/232.68.pdf" Type="http://schemas.openxmlformats.org/officeDocument/2006/relationships/hyperlink" Id="rId6"/>
    <Relationship TargetMode="External" Target="https://www.legis.iowa.gov/docs/ico/chapter/232.68.pdf" Type="http://schemas.openxmlformats.org/officeDocument/2006/relationships/hyperlink" Id="rId7"/>
    <Relationship TargetMode="External" Target="https://www.legis.iowa.gov/docs/ico/chapter/232.68.pdf" Type="http://schemas.openxmlformats.org/officeDocument/2006/relationships/hyperlink" Id="rId8"/>
    <Relationship TargetMode="External" Target="https://www.legis.iowa.gov/docs/ico/chapter/232.2.pdf" Type="http://schemas.openxmlformats.org/officeDocument/2006/relationships/hyperlink" Id="rId9"/>
    <Relationship TargetMode="External" Target="https://www.legis.iowa.gov/docs/ico/chapter/232.102A.pdf" Type="http://schemas.openxmlformats.org/officeDocument/2006/relationships/hyperlink" Id="rId10"/>
    <Relationship TargetMode="External" Target="https://www.legis.iowa.gov/docs/ico/chapter/232.102A.pdf" Type="http://schemas.openxmlformats.org/officeDocument/2006/relationships/hyperlink" Id="rId11"/>
    <Relationship TargetMode="External" Target="https://www.legis.iowa.gov/docs/iac/chapter/441.125.pdf" Type="http://schemas.openxmlformats.org/officeDocument/2006/relationships/hyperlink" Id="rId12"/>
    <Relationship TargetMode="External" Target="https://www.legis.iowa.gov/docs/ico/chapter/232.2.pdf" Type="http://schemas.openxmlformats.org/officeDocument/2006/relationships/hyperlink" Id="rId13"/>
    <Relationship TargetMode="External" Target="https://www.legis.iowa.gov/docs/iac/chapter/441.2506.pdf" Type="http://schemas.openxmlformats.org/officeDocument/2006/relationships/hyperlink" Id="rId14"/>
    <Relationship TargetMode="External" Target="https://www.legis.iowa.gov/docs/ico/chapter/234.6.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