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XV</w:t>
      </w:r>
    </w:p>
    <w:p>
      <w:pPr>
        <w:pBdr>
          <w:bottom w:space="3"/>
        </w:pBdr>
        <w:spacing w:before="0" w:after="0"/>
        <w:ind w:left="120"/>
        <w:jc w:val="center"/>
      </w:pPr>
      <w:r>
        <w:rPr>
          <w:rFonts w:ascii="Times New Roman" w:hAnsi="Times New Roman"/>
          <w:b w:val="false"/>
          <w:i/>
          <w:color w:val="000000"/>
          <w:sz w:val="16"/>
        </w:rPr>
        <w:t>INDIVIDUAL AND FAMILY SUPPORT</w:t>
      </w:r>
      <w:r>
        <w:br/>
      </w:r>
      <w:r>
        <w:rPr>
          <w:rFonts w:ascii="Times New Roman" w:hAnsi="Times New Roman"/>
          <w:b w:val="false"/>
          <w:i/>
          <w:color w:val="000000"/>
          <w:sz w:val="16"/>
        </w:rPr>
        <w:t>AND PROTECTIVE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170</w:t>
      </w:r>
    </w:p>
    <w:p>
      <w:pPr>
        <w:spacing w:before="0" w:after="0"/>
        <w:ind w:left="120"/>
        <w:jc w:val="center"/>
      </w:pPr>
      <w:r>
        <w:rPr>
          <w:rFonts w:ascii="Times New Roman" w:hAnsi="Times New Roman"/>
          <w:b w:val="false"/>
          <w:i w:val="false"/>
          <w:color w:val="000000"/>
          <w:sz w:val="21"/>
        </w:rPr>
        <w:t>CHILD CARE SERVICES</w:t>
      </w:r>
    </w:p>
    <w:p>
      <w:pPr>
        <w:spacing w:before="0" w:after="0"/>
        <w:ind w:left="120"/>
        <w:jc w:val="center"/>
      </w:pPr>
      <w:r>
        <w:rPr>
          <w:rFonts w:ascii="Times New Roman" w:hAnsi="Times New Roman"/>
          <w:b w:val="false"/>
          <w:i w:val="false"/>
          <w:color w:val="000000"/>
          <w:sz w:val="14"/>
        </w:rPr>
        <w:t>[Prior to 7/1/83, Social Services[770] Ch 132]</w:t>
      </w:r>
    </w:p>
    <w:p>
      <w:pPr>
        <w:spacing w:before="0" w:after="0"/>
        <w:ind w:left="120"/>
        <w:jc w:val="center"/>
      </w:pPr>
      <w:r>
        <w:rPr>
          <w:rFonts w:ascii="Times New Roman" w:hAnsi="Times New Roman"/>
          <w:b w:val="false"/>
          <w:i w:val="false"/>
          <w:color w:val="000000"/>
          <w:sz w:val="14"/>
        </w:rPr>
        <w:t>[Previously appeared as Ch 132—renumbered IAB 2/29/84]</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intent of this chapter is to establish requirements for the payment of child care services. Child care services are for children of low-income parents who are in academic or vocational training, or employed or looking for employment, or unable to care for children due to physical or mental illness, or needing protective services to prevent or alleviate child abuse or neglect. Services may be provided in a licensed child care center, a registered child development home, the child’s own home, or a nonregistered family child care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error”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child care assistance incorrectly paid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Loss or misfiling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timely changes in assistance following amendments of policies that require the changes by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w:t>
      </w:r>
      <w:r>
        <w:rPr>
          <w:rFonts w:ascii="Times New Roman" w:hAnsi="Times New Roman"/>
          <w:b w:val="false"/>
          <w:i w:val="false"/>
          <w:color w:val="000000"/>
          <w:sz w:val="22"/>
        </w:rPr>
        <w:t> </w:t>
      </w:r>
      <w:r>
        <w:rPr>
          <w:rFonts w:ascii="Times New Roman" w:hAnsi="Times New Roman"/>
          <w:b w:val="false"/>
          <w:i w:val="false"/>
          <w:color w:val="000000"/>
          <w:sz w:val="22"/>
        </w:rPr>
        <w:t>means a service that provides child care in the absence of parents for a portion of the day, but less than 24 hours. Child care supplements parental care by providing care and protection for children who need care in or outside their homes for part of the day. Child care provides experiences for each child’s social, emotional, intellectual, and physical development. Child care may involve comprehensive child development care or it may include special services for a child with special needs. Components of this service shall include supervision, food services, program and activities, and may include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with protective needs”</w:t>
      </w:r>
      <w:r>
        <w:rPr>
          <w:rFonts w:ascii="Times New Roman" w:hAnsi="Times New Roman"/>
          <w:b w:val="false"/>
          <w:i w:val="false"/>
          <w:color w:val="000000"/>
          <w:sz w:val="22"/>
        </w:rPr>
        <w:t> </w:t>
      </w:r>
      <w:r>
        <w:rPr>
          <w:rFonts w:ascii="Times New Roman" w:hAnsi="Times New Roman"/>
          <w:b w:val="false"/>
          <w:i w:val="false"/>
          <w:color w:val="000000"/>
          <w:sz w:val="22"/>
        </w:rPr>
        <w:t>means a child who is in foster care or has a case file that identifies child care as a safety or well-being need to prevent or alleviate the effects of child abuse or neglect. Child care is provided as part of a safety plan during a child abuse or child in need of assistance assessment or as part of the service plan established in the family’s case plan. The child must have: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open child abuse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open child in need of assistance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open child welfare case as a result of a child abuse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petition on file for a child in need of assistance adjudication;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Adjudication as a child in need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with special needs”</w:t>
      </w:r>
      <w:r>
        <w:rPr>
          <w:rFonts w:ascii="Times New Roman" w:hAnsi="Times New Roman"/>
          <w:b w:val="false"/>
          <w:i w:val="false"/>
          <w:color w:val="000000"/>
          <w:sz w:val="22"/>
        </w:rPr>
        <w:t> </w:t>
      </w:r>
      <w:r>
        <w:rPr>
          <w:rFonts w:ascii="Times New Roman" w:hAnsi="Times New Roman"/>
          <w:b w:val="false"/>
          <w:i w:val="false"/>
          <w:color w:val="000000"/>
          <w:sz w:val="22"/>
        </w:rPr>
        <w:t>means a child with one or more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 has been diagnosed by a physician or by a person endorsed for service as a school psychologist by the Iowa department of education to have a developmental disability which substantially limits one or more major life activities, and the child requires professional treatment, assistance in self-care, or the purchase of special adaptive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child has been determined by a qualified intellectual disability professional as defined in rule </w:t>
      </w:r>
      <w:hyperlink r:id="rId5">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 to have a condition which impairs the child’s intellectual and social functioning.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child has been diagnosed by a mental health professional as defined in rule </w:t>
      </w:r>
      <w:hyperlink r:id="rId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have a behavioral or emotional disorder characterized by situationally inappropriate behavior which deviates substantially from behavior appropriate to the child’s age, or which significantly interferes with the child’s intellectual, social, or personal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recipient of the child care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 or misleading statements, oral or written, regarding the client’s income, resources, or other circumstances which affect eligibility or the amount of assistance received;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timely report changes in income, resources, or other circumstances which affect eligibility or the amount of assistance received;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timely report the receipt of child care units in excess of the number approved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comply with the need for service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services”</w:t>
      </w:r>
      <w:r>
        <w:rPr>
          <w:rFonts w:ascii="Times New Roman" w:hAnsi="Times New Roman"/>
          <w:b w:val="false"/>
          <w:i w:val="false"/>
          <w:color w:val="000000"/>
          <w:sz w:val="22"/>
        </w:rPr>
        <w:t> </w:t>
      </w:r>
      <w:r>
        <w:rPr>
          <w:rFonts w:ascii="Times New Roman" w:hAnsi="Times New Roman"/>
          <w:b w:val="false"/>
          <w:i w:val="false"/>
          <w:color w:val="000000"/>
          <w:sz w:val="22"/>
        </w:rPr>
        <w:t>means the preparation and serving of nutritionally balanced meals and snacks.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“Fraudulent means”</w:t>
      </w:r>
      <w:r>
        <w:rPr>
          <w:rFonts w:ascii="Times New Roman" w:hAnsi="Times New Roman"/>
          <w:b w:val="false"/>
          <w:i w:val="false"/>
          <w:color w:val="000000"/>
          <w:sz w:val="22"/>
        </w:rPr>
        <w:t> </w:t>
      </w:r>
      <w:r>
        <w:rPr>
          <w:rFonts w:ascii="Times New Roman" w:hAnsi="Times New Roman"/>
          <w:b w:val="false"/>
          <w:i w:val="false"/>
          <w:color w:val="000000"/>
          <w:sz w:val="22"/>
        </w:rPr>
        <w:t>means knowingly making or causing to be made a false statement or a misrepresentation of a material fact, knowingly failing to disclose a material fact, or committing a fraudulent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“In-home”</w:t>
      </w:r>
      <w:r>
        <w:rPr>
          <w:rFonts w:ascii="Times New Roman" w:hAnsi="Times New Roman"/>
          <w:b w:val="false"/>
          <w:i w:val="false"/>
          <w:color w:val="000000"/>
          <w:sz w:val="22"/>
        </w:rPr>
        <w:t> </w:t>
      </w:r>
      <w:r>
        <w:rPr>
          <w:rFonts w:ascii="Times New Roman" w:hAnsi="Times New Roman"/>
          <w:b w:val="false"/>
          <w:i w:val="false"/>
          <w:color w:val="000000"/>
          <w:sz w:val="22"/>
        </w:rPr>
        <w:t>means care which is provided within the child’s own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“Migrant seasonal farm worker”</w:t>
      </w:r>
      <w:r>
        <w:rPr>
          <w:rFonts w:ascii="Times New Roman" w:hAnsi="Times New Roman"/>
          <w:b w:val="false"/>
          <w:i w:val="false"/>
          <w:color w:val="000000"/>
          <w:sz w:val="22"/>
        </w:rPr>
        <w:t> </w:t>
      </w:r>
      <w:r>
        <w:rPr>
          <w:rFonts w:ascii="Times New Roman" w:hAnsi="Times New Roman"/>
          <w:b w:val="false"/>
          <w:i w:val="false"/>
          <w:color w:val="000000"/>
          <w:sz w:val="22"/>
        </w:rPr>
        <w:t>means a person to whom all of the following conditions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performs seasonal agricultural work which requires travel so that the person is unable to return to the person’s permanent residence within the same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Most of the person’s income is derived from seasonal agricultural work performed during the months of July through October. Most shall mean the simple majority of the income.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generally performs seasonal agricultural work in Iowa during the months of July through October.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or 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training such as, but not limited to, training conducted over the Iowa communications network, on-line courses, or web conferencing. The training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Interaction between the instructor and the student, such as required chats or message boards;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Mechanisms for evaluation and measurement of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benefit or payment received in an amount greater than the amount the client or provider is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the parent or the person who serves in the capacity of the parent of the child receiving child care assistance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and activities”</w:t>
      </w:r>
      <w:r>
        <w:rPr>
          <w:rFonts w:ascii="Times New Roman" w:hAnsi="Times New Roman"/>
          <w:b w:val="false"/>
          <w:i w:val="false"/>
          <w:color w:val="000000"/>
          <w:sz w:val="22"/>
        </w:rPr>
        <w:t> </w:t>
      </w:r>
      <w:r>
        <w:rPr>
          <w:rFonts w:ascii="Times New Roman" w:hAnsi="Times New Roman"/>
          <w:b w:val="false"/>
          <w:i w:val="false"/>
          <w:color w:val="000000"/>
          <w:sz w:val="22"/>
        </w:rPr>
        <w:t>means the daily schedule of experiences in a child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“PROMISE JOBS”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department’s work and training program, promoting independence and self-sufficiency through employment job opportunities and basic skills, as described in </w:t>
      </w:r>
      <w:hyperlink r:id="rId7">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child care center, a registered child development home, a caretaker who provides care for a child in the child’s home, or a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 error”</w:t>
      </w:r>
      <w:r>
        <w:rPr>
          <w:rFonts w:ascii="Times New Roman" w:hAnsi="Times New Roman"/>
          <w:b w:val="false"/>
          <w:i w:val="false"/>
          <w:color w:val="000000"/>
          <w:sz w:val="22"/>
        </w:rPr>
        <w:t>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Presentation for payment of any false or fraudulent claim for services or merchandise;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Submittal of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report the receipt of a child care assistance payment in excess of that approved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Charging the department an amount for services rendered over and above what is charged private pay clients for the same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maintain a copy of Form 470-4535 signed by the parent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“Recoupment”</w:t>
      </w:r>
      <w:r>
        <w:rPr>
          <w:rFonts w:ascii="Times New Roman" w:hAnsi="Times New Roman"/>
          <w:b w:val="false"/>
          <w:i w:val="false"/>
          <w:color w:val="000000"/>
          <w:sz w:val="22"/>
        </w:rPr>
        <w:t> </w:t>
      </w:r>
      <w:r>
        <w:rPr>
          <w:rFonts w:ascii="Times New Roman" w:hAnsi="Times New Roman"/>
          <w:b w:val="false"/>
          <w:i w:val="false"/>
          <w:color w:val="000000"/>
          <w:sz w:val="22"/>
        </w:rPr>
        <w:t>means the repayment of an overpayment by a payment from the client or provider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the care, protection, and guidance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w:t>
      </w:r>
      <w:r>
        <w:rPr>
          <w:rFonts w:ascii="Times New Roman" w:hAnsi="Times New Roman"/>
          <w:b w:val="false"/>
          <w:i w:val="false"/>
          <w:color w:val="000000"/>
          <w:sz w:val="22"/>
        </w:rPr>
        <w:t> </w:t>
      </w:r>
      <w:r>
        <w:rPr>
          <w:rFonts w:ascii="Times New Roman" w:hAnsi="Times New Roman"/>
          <w:b w:val="false"/>
          <w:i w:val="false"/>
          <w:color w:val="000000"/>
          <w:sz w:val="22"/>
        </w:rPr>
        <w:t>means the movement of children in a four or more wheeled vehicle designed to carry passengers, such as a car, van, or bus, between home and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 of service”</w:t>
      </w:r>
      <w:r>
        <w:rPr>
          <w:rFonts w:ascii="Times New Roman" w:hAnsi="Times New Roman"/>
          <w:b w:val="false"/>
          <w:i w:val="false"/>
          <w:color w:val="000000"/>
          <w:sz w:val="22"/>
        </w:rPr>
        <w:t> </w:t>
      </w:r>
      <w:r>
        <w:rPr>
          <w:rFonts w:ascii="Times New Roman" w:hAnsi="Times New Roman"/>
          <w:b w:val="false"/>
          <w:i w:val="false"/>
          <w:color w:val="000000"/>
          <w:sz w:val="22"/>
        </w:rPr>
        <w:t>means a half day which shall be up to 5 hours of service per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or education”</w:t>
      </w:r>
      <w:r>
        <w:rPr>
          <w:rFonts w:ascii="Times New Roman" w:hAnsi="Times New Roman"/>
          <w:b w:val="false"/>
          <w:i w:val="false"/>
          <w:color w:val="000000"/>
          <w:sz w:val="22"/>
        </w:rPr>
        <w:t> </w:t>
      </w:r>
      <w:r>
        <w:rPr>
          <w:rFonts w:ascii="Times New Roman" w:hAnsi="Times New Roman"/>
          <w:b w:val="false"/>
          <w:i w:val="false"/>
          <w:color w:val="000000"/>
          <w:sz w:val="22"/>
        </w:rPr>
        <w:t>means a training plan which includes a specific goal, that is, high school completion, improved English skills, or development of specific academic or vocational skills.</w:t>
      </w:r>
    </w:p>
    <w:p>
      <w:pPr>
        <w:spacing w:before="0" w:after="0"/>
        <w:ind w:left="120"/>
        <w:jc w:val="both"/>
      </w:pPr>
      <w:r>
        <w:rPr>
          <w:rFonts w:ascii="Times New Roman" w:hAnsi="Times New Roman"/>
          <w:b w:val="false"/>
          <w:i w:val="false"/>
          <w:color w:val="000000"/>
          <w:sz w:val="22"/>
        </w:rPr>
        <w:t>Training may be approved for high school completion activities, high school equivalency, adult basic education, English as a second language, or postsecondary education, up to and including an associate or a baccalaureate degree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1525C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1606C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441—170.2</w:t>
      </w:r>
      <w:r>
        <w:rPr>
          <w:rFonts w:ascii="Times New Roman" w:hAnsi="Times New Roman"/>
          <w:b/>
          <w:i w:val="false"/>
          <w:color w:val="000000"/>
          <w:sz w:val="22"/>
        </w:rPr>
        <w:t xml:space="preserve">(237A,239B)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 xml:space="preserve">A person deemed eligible for benefits under this chapter is subject to all other state child care assistance requirements including, but not limited to, provider requirements under Iowa Code chapter </w:t>
      </w:r>
      <w:hyperlink r:id="rId8">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provider reimbursement methodology. The department shall determine the number of units of service to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Financial eligibility for child care assistance shall be based on federal poverty levels as determined by the Office of Management and Budget and on Iowa’s median family income as determined by the U.S. Census Bureau. Poverty guidelines and median family income amounts are updated annually. Changes shall go into effect for the child care assistance program on July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initial eligibility, an applicant family’s nonexempt gross monthly income as established in </w:t>
      </w:r>
      <w:hyperlink r:id="rId9">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cannot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160 percent of the federal poverty level applicable to the family size for children needing basic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200 percent of the federal poverty level applicable to the family size for children needing special-needs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85 percent of Iowa’s median family income, if that figure is lower than the standard in numbered paragraph “1” or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ongoing eligibility, at the time of a family’s annual eligibility redetermination as described in </w:t>
      </w:r>
      <w:hyperlink r:id="rId10">
        <w:r>
          <w:rPr>
            <w:rStyle w:val="Hyperlink"/>
            <w:rFonts w:ascii="Times New Roman" w:hAnsi="Times New Roman"/>
            <w:b w:val="false"/>
            <w:i w:val="false"/>
            <w:color w:val="000000"/>
            <w:sz w:val="22"/>
          </w:rPr>
          <w:t>subrule 170.3(5)</w:t>
        </w:r>
      </w:hyperlink>
      <w:r>
        <w:rPr>
          <w:rFonts w:ascii="Times New Roman" w:hAnsi="Times New Roman"/>
          <w:b w:val="false"/>
          <w:i w:val="false"/>
          <w:color w:val="000000"/>
          <w:sz w:val="22"/>
        </w:rPr>
        <w:t xml:space="preserve">, if the family’s nonexempt gross monthly income as established in </w:t>
      </w:r>
      <w:hyperlink r:id="rId11">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exceeds the amounts in </w:t>
      </w:r>
      <w:hyperlink r:id="rId12">
        <w:r>
          <w:rPr>
            <w:rStyle w:val="Hyperlink"/>
            <w:rFonts w:ascii="Times New Roman" w:hAnsi="Times New Roman"/>
            <w:b w:val="false"/>
            <w:i w:val="false"/>
            <w:color w:val="000000"/>
            <w:sz w:val="22"/>
          </w:rPr>
          <w:t>subparagraph 170.2(1)</w:t>
        </w:r>
      </w:hyperlink>
      <w:r>
        <w:rPr>
          <w:rFonts w:ascii="Times New Roman" w:hAnsi="Times New Roman"/>
          <w:b w:val="false"/>
          <w:i/>
          <w:color w:val="000000"/>
          <w:sz w:val="22"/>
        </w:rPr>
        <w:t>“a”</w:t>
      </w:r>
      <w:r>
        <w:rPr>
          <w:rFonts w:ascii="Times New Roman" w:hAnsi="Times New Roman"/>
          <w:b w:val="false"/>
          <w:i w:val="false"/>
          <w:color w:val="000000"/>
          <w:sz w:val="22"/>
        </w:rPr>
        <w:t>(1), the family may continue to be eligible as long as the family’s nonexempt gross monthly income does 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225 percent of the federal poverty level applicable to the family size for children needing basic care or special-needs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85 percent of Iowa’s median family income, if that figure is lower than the standard in numbered 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ongoing eligibility, at the time of a family’s annual eligibility redetermination as described in </w:t>
      </w:r>
      <w:hyperlink r:id="rId13">
        <w:r>
          <w:rPr>
            <w:rStyle w:val="Hyperlink"/>
            <w:rFonts w:ascii="Times New Roman" w:hAnsi="Times New Roman"/>
            <w:b w:val="false"/>
            <w:i w:val="false"/>
            <w:color w:val="000000"/>
            <w:sz w:val="22"/>
          </w:rPr>
          <w:t>subrule 170.3(5)</w:t>
        </w:r>
      </w:hyperlink>
      <w:r>
        <w:rPr>
          <w:rFonts w:ascii="Times New Roman" w:hAnsi="Times New Roman"/>
          <w:b w:val="false"/>
          <w:i w:val="false"/>
          <w:color w:val="000000"/>
          <w:sz w:val="22"/>
        </w:rPr>
        <w:t xml:space="preserve">, if the family’s nonexempt gross monthly income as established in </w:t>
      </w:r>
      <w:hyperlink r:id="rId14">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exceeds the amounts in subparagraphs </w:t>
      </w:r>
      <w:hyperlink r:id="rId15">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6">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(2), the family may continue to be eligible as long as the family’s nonexempt gross monthly income does 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250 percent of the federal poverty level applicable to the family size for children needing basic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275 percent of the federal poverty level applicable to the family size for children needing special-needs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income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participating in activities approved under the PROMISE JOBS program is eligible for child care assistance without regard to income if there is a need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part of the family investment program or whose earned income was taken into account in determining the needs of a family investment program recipient is eligible for child care assistance without regard to income if there is a need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Protective child care services are provided without regard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certain cases, the department will provide child care services directed in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care services for licensed foster parents who need child care for foster children are provided without regard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Determining gross income. </w:t>
      </w:r>
      <w:r>
        <w:rPr>
          <w:rFonts w:ascii="Times New Roman" w:hAnsi="Times New Roman"/>
          <w:b w:val="false"/>
          <w:i w:val="false"/>
          <w:color w:val="000000"/>
          <w:sz w:val="22"/>
        </w:rPr>
        <w:t xml:space="preserve">Eligibility shall be determined using a projection of income based on the best estimate of future income. In determining a family’s gross monthly income, the department shall consider all income received by a family member from sources identified by the U.S. Census Bureau in computing median income, unless excluded under paragraph </w:t>
      </w:r>
      <w:hyperlink r:id="rId17">
        <w:r>
          <w:rPr>
            <w:rStyle w:val="Hyperlink"/>
            <w:rFonts w:ascii="Times New Roman" w:hAnsi="Times New Roman"/>
            <w:b w:val="false"/>
            <w:i w:val="false"/>
            <w:color w:val="000000"/>
            <w:sz w:val="22"/>
          </w:rPr>
          <w:t>170.2(1)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considered shall include wages or salary, net profit from farm or nonfarm self-employment, social security, dividends, interest, income from estates or trusts, net rental income and royalties, public assistance or welfare payments, pensions and annuities, unemployment compensation, workers’ compensation, alimony, child support, veterans pensions, cash payments, casino profits, railroad retirement, permanent disability insurance, strike pay and living allowance payments made to participants of the AmeriCorps program. “Net profit from self-employment” means gross income less the costs of producing the income other than depreciation. A net loss in self-employment income cannot be offset from other earned or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migrant seasonal farm workers, the monthly gross income shall be determined by calculating the total amount of income earned in a 12-month period preceding the date of application and dividing the total amount by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once every two weeks is projected for future months, income shall be projected by adding all income received in the period being used for the projection and dividing the result by the number of instances of income received in that period. The result shall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exclusions. </w:t>
      </w:r>
      <w:r>
        <w:rPr>
          <w:rFonts w:ascii="Times New Roman" w:hAnsi="Times New Roman"/>
          <w:b w:val="false"/>
          <w:i w:val="false"/>
          <w:color w:val="000000"/>
          <w:sz w:val="22"/>
        </w:rPr>
        <w:t>The following sources are excluded from the computation of monthly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 capita payments from or funds held in trust in satisfaction of a judgment of the Indian Claims Commission or the court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pursuant to the Alaska Claims Settlement Act, to the extent the payments are exempt from taxation under Section 21(a)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 received from the sale of property, unless the person was engaged in the business of selling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Withdrawals of bank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Money borrowed.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Tax refunds.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Lump-sum inheritances or insurance payments or settlements.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value of the Supplemental Nutrition Assistance Program (SNAP) allotment under the Food and Nutrition Act of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value of USDA donated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under the Child Nutrition Act of 1966 and the special food program for children under the National School Lunch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Earnings of a child 14 years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Loans and grants obtained and used under conditions that preclude their use for current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grant or loan to any undergraduate student for educational purposes made or insured under the Higher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Home produce used for household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Earnings received by any youth under the Workforce Investment Act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Stipends received for participating in the foster grandparent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first $65 plus 50 percent of the remainder of income earned in a sheltered workshop or work activity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Payments from the Low-Income Home Energy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Agent Orange settlement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parents with whom a teen parent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For children with special needs, income spent on any regular ongoing cost that is specific to that child’s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Moneys received under the federal Social Security Persons Achieving Self-Sufficiency (PASS) program or the Income-Related Work Expense (IRWE)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Income received by a Supplemental Security Income recipient if the recipient’s earned income was considered in determining the needs of a family investment program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The income of a child who would be in the family investment program eligible group except for the receipt of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Any adoption subsidy payments received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Payments from the Iowa individual assistance grant program (IIAGP).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Payments from the transition to independence program (TIP).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to volunteers participating in the Volunteers in Service to America (VISTA) program. </w:t>
      </w:r>
      <w:r>
        <w:rPr>
          <w:rFonts w:ascii="Times New Roman" w:hAnsi="Times New Roman"/>
          <w:b w:val="false"/>
          <w:i w:val="false"/>
          <w:color w:val="000000"/>
          <w:sz w:val="22"/>
        </w:rPr>
        <w:t>EXCEPTION</w:t>
      </w:r>
      <w:r>
        <w:rPr>
          <w:rFonts w:ascii="Times New Roman" w:hAnsi="Times New Roman"/>
          <w:b w:val="false"/>
          <w:i w:val="false"/>
          <w:color w:val="000000"/>
          <w:sz w:val="22"/>
        </w:rPr>
        <w:t>: This exemption will not be applied when the director of ACTION determines that the value of all VISTA payments, adjusted to reflect the number of hours the volunteer is serving, is equivalent to or greater than the minimum wage then in effect under the Fair Labor Standards Act of 1938 or the minimum wage under the laws of the state where the volunteer is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job-related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Stipends from the preparation for adult living (PAL)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Payments from the subsidized guardianship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The earnings of a child aged 18 or under who is a full-time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The following people shall be included in the family size for the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spouses (including common law) who reside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Natural mother or father, adoptive mother or father, or stepmother or stepfather, and children who reside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or children who live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 of temporary absence. </w:t>
      </w:r>
      <w:r>
        <w:rPr>
          <w:rFonts w:ascii="Times New Roman" w:hAnsi="Times New Roman"/>
          <w:b w:val="false"/>
          <w:i w:val="false"/>
          <w:color w:val="000000"/>
          <w:sz w:val="22"/>
        </w:rPr>
        <w:t>The composition of the family does not change when a family member is temporarily absent from the household. “Temporary absence”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absence for the purpose of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absence due to medical reasons that is anticipated to last less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absence when the person intends to return home within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Resource limits. </w:t>
      </w:r>
      <w:r>
        <w:rPr>
          <w:rFonts w:ascii="Times New Roman" w:hAnsi="Times New Roman"/>
          <w:b w:val="false"/>
          <w:i w:val="false"/>
          <w:color w:val="000000"/>
          <w:sz w:val="22"/>
        </w:rPr>
        <w:t>For initial and ongoing eligibility, family resources may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170.2(2)</w:t>
      </w:r>
      <w:r>
        <w:rPr>
          <w:rFonts w:ascii="Times New Roman" w:hAnsi="Times New Roman"/>
          <w:b w:val="false"/>
          <w:i w:val="false"/>
          <w:color w:val="000000"/>
          <w:sz w:val="22"/>
        </w:rPr>
        <w:t> </w:t>
      </w:r>
      <w:r>
        <w:rPr>
          <w:rFonts w:ascii="Times New Roman" w:hAnsi="Times New Roman"/>
          <w:b w:val="false"/>
          <w:i/>
          <w:color w:val="000000"/>
          <w:sz w:val="22"/>
        </w:rPr>
        <w:t xml:space="preserve">General eligibility requirements. </w:t>
      </w:r>
      <w:r>
        <w:rPr>
          <w:rFonts w:ascii="Times New Roman" w:hAnsi="Times New Roman"/>
          <w:b w:val="false"/>
          <w:i w:val="false"/>
          <w:color w:val="000000"/>
          <w:sz w:val="22"/>
        </w:rPr>
        <w:t>In addition to meeting financial requirements, the child needing services must meet age, citizenship, and residency requirements. Each parent in the household must have at least one need for service and shall cooperate with the department’s quality control review and with investigations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Child care shall be provided only to children up to age 13, unless they are children with special needs, in which case child care shall be provided up to age 19. When a child reaches the age of 13, or, as applicable, the age of 19, during the certification period, eligibility shall continue until the end of the approved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 xml:space="preserve">Except for assistance provided under subparagraph </w:t>
      </w:r>
      <w:hyperlink r:id="rId18">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assistance shall be provided to a two-parent family only during the parents’ coinciding hours of participation in training, employment, or job search unless one parent is permanently disabled as described in </w:t>
      </w:r>
      <w:hyperlink r:id="rId19">
        <w:r>
          <w:rPr>
            <w:rStyle w:val="Hyperlink"/>
            <w:rFonts w:ascii="Times New Roman" w:hAnsi="Times New Roman"/>
            <w:b w:val="false"/>
            <w:i w:val="false"/>
            <w:color w:val="000000"/>
            <w:sz w:val="22"/>
          </w:rPr>
          <w:t>subparagraph 170.2(2)</w:t>
        </w:r>
      </w:hyperlink>
      <w:r>
        <w:rPr>
          <w:rFonts w:ascii="Times New Roman" w:hAnsi="Times New Roman"/>
          <w:b w:val="false"/>
          <w:i/>
          <w:color w:val="000000"/>
          <w:sz w:val="22"/>
        </w:rPr>
        <w:t>“b”</w:t>
      </w:r>
      <w:r>
        <w:rPr>
          <w:rFonts w:ascii="Times New Roman" w:hAnsi="Times New Roman"/>
          <w:b w:val="false"/>
          <w:i w:val="false"/>
          <w:color w:val="000000"/>
          <w:sz w:val="22"/>
        </w:rPr>
        <w:t>(4). Each parent in the household shall meet one or more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is in academic or vocational training. Training shall be on a full-time basis. The training facility shall define what is considered as full-time. Part-time training may be approved only if the number of credit hours to complete training is less than that required for full-time status, the required prerequisite credits or remedial course work is less than that required for full-time status, or training is not offered on a full-time basis. Child care services may be provided for the parent’s hours of participation in the academic or vocational training and for actual travel time between the child care location and the training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provided while the parent participates in postsecondary education leading up to and including a baccalaureate degree program or vocational training shall be limited to a 24-month lifetime limit. A month is defined as a fiscal month or part thereof and shall generally have starting and ending dates that fall within two adjacent calendar months but shall only count as one month. Time spent in high school completion, adult basic education, high school equivalency, or English as a second language does not count toward the 24-month limit. PROMISE JOBS child care allowances provided while the parent is a recipient of the family investment program and participating in PROMISE JOBS components in postsecondary education or training shall count toward the 24-month lifetime limit.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Payment shall not be approved for child-care during training in the following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Labor market statistics for a local area indicate low employment potential for workers with that training. Exceptions may be made when the parent has a job offer before entering the training or if a parent is willing to relocate after training to an area where there is employment potential. Parents willing to relocate must provide documentation from the department of workforce development, private employment agencies, or employers that jobs paying at least minimum wage for which training is being requested are available in the locale specified by the parent.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training is for jobs paying less than minimum wage.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parent who possesses a baccalaureate degree wants to take additional college coursework unless the coursework is to obtain a teaching certificate or complete continuing education units.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course or training is one that the parent has previously completed.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parent was previously unable to maintain the cumulative grade point average required by the training or academic facility in the same training for which application is now being made. This does not apply to parents under the age of 18 who are enrolled in high school completion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education is in a field in which the parent will not be able to be employed due to known criminal convictions or founded child or dependent adult abuse.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parent wants to participate in on-line or distance learning from the parent’s own home, and the training facility does not require specified hours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is employed 32 or more hours per week (28 hours per week if the family includes a special needs child) or an average of 32 or more hours per week (28 hours per week if the family includes a special needs child) during the month. Child care services may be provided for the hours of employment and for actual travel time between the child care location and the place of employment. If the parent works a shift consisting of at least six hours of employment between the hours of 8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needs to sleep during daytime hours, child care services may also be provided to allow the parent to sleep during daytime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has a child with protective needs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parent is absent from the home due to inpatient hospitalization or outpatient treatment because of physical or mental illness, or is present but due to medical incapacity is unable to care for the child or participate in work or training, as verified by a physician.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Eligibility under this paragraph is limited to parents who become temporarily medically incapacitated, or to instances of one parent in a two-parent household being permanently disabled, while eligible for child care assistance based on the need criteria in subparagraph </w:t>
      </w:r>
      <w:hyperlink r:id="rId20">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Child care assistance shall continue to be available for up to 90 consecutive days after the parent becomes medically incapacitated. Assistance beyond 90 days may be approved by the service area manager or designee if extenuating circumstances are verified by a physician.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authorized shall be determined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single-parent family, the number of units authorized for the period of incapacity shall not exceed the number of units authorized for the family before the onset of incapacity.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two-parent family where one parent is temporarily incapacitated, the units of service authorized shall be based on the need of the parent who is not incapacitated.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two-parent family, if one of the parents has a permanent disability and is unable to care for the child or participate in work or training, the disabled parent does not need to meet another need for service requirement. The units of service authorized shall be based only on the need of the parent who is not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parent is looking for employment. Child care for job search hours shall be limited to only those hours the parent is actually looking for employment, including travel time. Job search shall be limited to a maximum of 90 consecutive calendar days.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applicants, job search shall be approved for a maximum of 90 consecutive calendar days. If the parent has not started employment within 90 days, assistance shall be canceled.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ongoing participants, job search shall be limited to a maximum of 90 consecutive calendar days and will be treated the same as a temporary lapse in need as described at subparagraphs </w:t>
      </w:r>
      <w:hyperlink r:id="rId22">
        <w:r>
          <w:rPr>
            <w:rStyle w:val="Hyperlink"/>
            <w:rFonts w:ascii="Times New Roman" w:hAnsi="Times New Roman"/>
            <w:b w:val="false"/>
            <w:i w:val="false"/>
            <w:color w:val="000000"/>
            <w:sz w:val="22"/>
          </w:rPr>
          <w:t>170.2(2)</w:t>
        </w:r>
      </w:hyperlink>
      <w:r>
        <w:rPr>
          <w:rFonts w:ascii="Times New Roman" w:hAnsi="Times New Roman"/>
          <w:b w:val="false"/>
          <w:i/>
          <w:color w:val="000000"/>
          <w:sz w:val="22"/>
        </w:rPr>
        <w:t>“b”</w:t>
      </w:r>
      <w:r>
        <w:rPr>
          <w:rFonts w:ascii="Times New Roman" w:hAnsi="Times New Roman"/>
          <w:b w:val="false"/>
          <w:i w:val="false"/>
          <w:color w:val="000000"/>
          <w:sz w:val="22"/>
        </w:rPr>
        <w:t>(10) and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needs child care services due to participation in activities approved under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family is part of the family investment program and there is a need for child care services due to employment or participation in vocational training or education. A family who meets this requirement due to employment is not required to work a minimum number of hours. If a parent in a family investment program household remains in the home, child care assistance can be paid if that parent receives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is employed and participating in academic or vocational training for 32 or more hours per week (28 hours per week if the family includes a special needs child) or an average of 32 or more hours per week (28 hours per week if the family includes a special needs child) in the aggregate, during the month. Child care services may be provided for the hours of employment, the hours of participation in academic or vocational training and for actual travel time between the child care location and the place of employment or training. All of the requirements relating to academic or vocational training found at subparagraph </w:t>
      </w:r>
      <w:hyperlink r:id="rId23">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except for the requirement to be enrolled full-time, apply to the part-time training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parent is a licensed foster parent who needs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Family eligibility shall continue during an approved certification period when a temporary lapse in need for service for a parent established under this subparagraph occurs. A temporary lapse is defined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time-limited absence from work or a training or education program for a parent due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 to care for a family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illness.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Maternity leave.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Family Medical Leave Act (FMLA) situations for household members.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Participation in a treatment/rehabilitation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reduction in employment or education/training hours that fall below the minimum number required at 170.2(2)</w:t>
      </w:r>
      <w:r>
        <w:rPr>
          <w:rFonts w:ascii="Times New Roman" w:hAnsi="Times New Roman"/>
          <w:b w:val="false"/>
          <w:i/>
          <w:color w:val="000000"/>
          <w:sz w:val="22"/>
        </w:rPr>
        <w:t>“b”</w:t>
      </w:r>
      <w:r>
        <w:rPr>
          <w:rFonts w:ascii="Times New Roman" w:hAnsi="Times New Roman"/>
          <w:b w:val="false"/>
          <w:i w:val="false"/>
          <w:color w:val="000000"/>
          <w:sz w:val="22"/>
        </w:rPr>
        <w:t xml:space="preserve">(1), (2) or (8) as long as the parent continues to work or attend training or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student holiday or break for a parent participating in training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interruption in work for a seasonal worker who is not working between regular industry work 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cessation of work or attendance at a training or education program that does not exceed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Family eligibility shall be canceled if the lapse in need is not temporary because the lapse will continue for more than 3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To be eligible for child care services, the person must be living in the state of Iowa. “Living in the state” shall include those persons living in Iowa for a temporary period, other than for the purpose of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Citizenship. </w:t>
      </w:r>
      <w:r>
        <w:rPr>
          <w:rFonts w:ascii="Times New Roman" w:hAnsi="Times New Roman"/>
          <w:b w:val="false"/>
          <w:i w:val="false"/>
          <w:color w:val="000000"/>
          <w:sz w:val="22"/>
        </w:rPr>
        <w:t>As a condition of eligibility, the applicant shall attest to the child’s citizenship or alien status by signing Form 470-3624 or 470-3624(S) or Form 470-0462 or 470-0462(S). Child care assistance payments may be made only for a child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citizen or national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 qualified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The applicant shall furnish documentation of the alien status of any child declared to be a qualified alien. A child who is a qualified alien is not eligible for child care assistance for a period of five years beginning on the date of the child’s entry into the United States with qualified alien status.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five-year prohibition from receiving assistance does not apply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Qualified aliens described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1613;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Qualified aliens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who entered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Parents shall cooperate with the department when the department selects the family’s case for quality control review to verify eligibility. Parents shall also cooperate with investigations conducted by the department of inspections and appeals to determine whether information supplied by the parent regarding eligibility for child care assistance is complete and correct. (See </w:t>
      </w:r>
      <w:hyperlink r:id="rId24">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cooperate shall serve as a basis for cancellation or denial of the family’s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denied or canceled for failure to cooperate, the family may reapply but shall not be considered for approval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170.2(3)</w:t>
      </w:r>
      <w:r>
        <w:rPr>
          <w:rFonts w:ascii="Times New Roman" w:hAnsi="Times New Roman"/>
          <w:b w:val="false"/>
          <w:i w:val="false"/>
          <w:color w:val="000000"/>
          <w:sz w:val="22"/>
        </w:rPr>
        <w:t> </w:t>
      </w:r>
      <w:r>
        <w:rPr>
          <w:rFonts w:ascii="Times New Roman" w:hAnsi="Times New Roman"/>
          <w:b w:val="false"/>
          <w:i/>
          <w:color w:val="000000"/>
          <w:sz w:val="22"/>
        </w:rPr>
        <w:t xml:space="preserve">Priority for assistance. </w:t>
      </w:r>
      <w:r>
        <w:rPr>
          <w:rFonts w:ascii="Times New Roman" w:hAnsi="Times New Roman"/>
          <w:b w:val="false"/>
          <w:i w:val="false"/>
          <w:color w:val="000000"/>
          <w:sz w:val="22"/>
        </w:rPr>
        <w:t>Child care services shall be provided only when funds are available. Funds available for child care assistance shall first be used to continue assistance to families currently receiving child care assistance and to families with protective child care needs or licensed foster parents who need child care for foster children. When funds are insufficient, families applying for services must meet the specific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Priority groups. </w:t>
      </w:r>
      <w:r>
        <w:rPr>
          <w:rFonts w:ascii="Times New Roman" w:hAnsi="Times New Roman"/>
          <w:b w:val="false"/>
          <w:i w:val="false"/>
          <w:color w:val="000000"/>
          <w:sz w:val="22"/>
        </w:rPr>
        <w:t xml:space="preserve">As funds are determined available, families shall be served on a statewide basis from a service-area-wide waiting list as specified in subrule </w:t>
      </w:r>
      <w:hyperlink r:id="rId25">
        <w:r>
          <w:rPr>
            <w:rStyle w:val="Hyperlink"/>
            <w:rFonts w:ascii="Times New Roman" w:hAnsi="Times New Roman"/>
            <w:b w:val="false"/>
            <w:i w:val="false"/>
            <w:color w:val="000000"/>
            <w:sz w:val="22"/>
          </w:rPr>
          <w:t>170.3(4)</w:t>
        </w:r>
      </w:hyperlink>
      <w:r>
        <w:rPr>
          <w:rFonts w:ascii="Times New Roman" w:hAnsi="Times New Roman"/>
          <w:b w:val="false"/>
          <w:i w:val="false"/>
          <w:color w:val="000000"/>
          <w:sz w:val="22"/>
        </w:rPr>
        <w:t xml:space="preserve"> based on the following schedule in descending order of prioritization.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at or below 100 percent of the federal poverty level whose members, for at least 32 hours per week in the aggregate, are employed or are participating at a satisfactory level in an approved training program or educational program, and parents with a family income at or below 100 percent of the federal poverty level who are under the age of 21 and are participating in an educational program leading to a high school diploma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under the age of 21 with a family income at or below 100 percent of the federal poverty guidelines who are participating, at a satisfactory level, in an approved training program or in an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of more than 100 percent but not more than 160 percent of the federal poverty guidelines whose members, for at least 32 hours per week in the aggregate, are employed or are participating at a satisfactory level in an approved training program or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at or below 200 percent of the federal poverty guidelines whose members are employed at least 28 hours per week with a special-needs child as a member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priority groups. </w:t>
      </w:r>
      <w:r>
        <w:rPr>
          <w:rFonts w:ascii="Times New Roman" w:hAnsi="Times New Roman"/>
          <w:b w:val="false"/>
          <w:i w:val="false"/>
          <w:color w:val="000000"/>
          <w:sz w:val="22"/>
        </w:rPr>
        <w:t>The following are eligible for child care assistance notwithstanding waiting lists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with protective child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Recipients of the family investment program or those whose earned income was taken into account in determining the needs of family investment program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that receive a state adoption subsidy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that are experiencing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Licensed foster parents who need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 on need for service. </w:t>
      </w:r>
      <w:r>
        <w:rPr>
          <w:rFonts w:ascii="Times New Roman" w:hAnsi="Times New Roman"/>
          <w:b w:val="false"/>
          <w:i w:val="false"/>
          <w:color w:val="000000"/>
          <w:sz w:val="22"/>
        </w:rPr>
        <w:t xml:space="preserve">Families approved under a priority group are not required to meet the requirements in paragraph </w:t>
      </w:r>
      <w:hyperlink r:id="rId26">
        <w:r>
          <w:rPr>
            <w:rStyle w:val="Hyperlink"/>
            <w:rFonts w:ascii="Times New Roman" w:hAnsi="Times New Roman"/>
            <w:b w:val="false"/>
            <w:i w:val="false"/>
            <w:color w:val="000000"/>
            <w:sz w:val="22"/>
          </w:rPr>
          <w:t>170.2(2)</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at review or redetermination.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170.2(4)</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The parent may report any changes in circumstances affecting these eligibility requirements and changes in the choice of provider to the department worker or the PROMISE JOBS worker within ten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change is timely reported within ten calendar days, the effective date of the change shall be the date when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change is not timely reported within ten calendar days, the effective date of the change shall be the date when the change is reported to the department office or the PROMISE JOBS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Exceptions. The following changes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income when the family’s gross monthly income exceeds 85 percent of Iowa’s median family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lapse in a parent’s need for service found in paragraph 170.2(2)</w:t>
      </w:r>
      <w:r>
        <w:rPr>
          <w:rFonts w:ascii="Times New Roman" w:hAnsi="Times New Roman"/>
          <w:b w:val="false"/>
          <w:i/>
          <w:color w:val="000000"/>
          <w:sz w:val="22"/>
        </w:rPr>
        <w:t>“b”</w:t>
      </w:r>
      <w:r>
        <w:rPr>
          <w:rFonts w:ascii="Times New Roman" w:hAnsi="Times New Roman"/>
          <w:b w:val="false"/>
          <w:i w:val="false"/>
          <w:color w:val="000000"/>
          <w:sz w:val="22"/>
        </w:rPr>
        <w:t xml:space="preserve"> that is not temporary.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residency outside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eligible child remains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disregard any reported changes that are not required to be reported unless the change would cause the authorized units to be increased or the family copay amount to be decreased.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1525C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1606C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3791C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4470C</w:t>
      </w:r>
      <w:r>
        <w:rPr>
          <w:rFonts w:ascii="Times New Roman" w:hAnsi="Times New Roman"/>
          <w:b w:val="false"/>
          <w:i w:val="false"/>
          <w:color w:val="000000"/>
          <w:sz w:val="16"/>
        </w:rPr>
        <w:t>, IAB 6/5/19,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5035C</w:t>
      </w:r>
      <w:r>
        <w:rPr>
          <w:rFonts w:ascii="Times New Roman" w:hAnsi="Times New Roman"/>
          <w:b w:val="false"/>
          <w:i w:val="false"/>
          <w:color w:val="000000"/>
          <w:sz w:val="16"/>
        </w:rPr>
        <w:t>, IAB 5/6/20,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6309C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6565C</w:t>
      </w:r>
      <w:r>
        <w:rPr>
          <w:rFonts w:ascii="Times New Roman" w:hAnsi="Times New Roman"/>
          <w:b w:val="false"/>
          <w:i w:val="false"/>
          <w:color w:val="000000"/>
          <w:sz w:val="16"/>
        </w:rPr>
        <w:t>, IAB 10/5/22, effective 10/1/22</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8741C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441—170.3</w:t>
      </w:r>
      <w:r>
        <w:rPr>
          <w:rFonts w:ascii="Times New Roman" w:hAnsi="Times New Roman"/>
          <w:b/>
          <w:i w:val="false"/>
          <w:color w:val="000000"/>
          <w:sz w:val="22"/>
        </w:rPr>
        <w:t xml:space="preserve">(237A,239B) </w:t>
      </w:r>
      <w:r>
        <w:rPr>
          <w:rFonts w:ascii="Times New Roman" w:hAnsi="Times New Roman"/>
          <w:b/>
          <w:i w:val="false"/>
          <w:color w:val="000000"/>
          <w:sz w:val="22"/>
        </w:rPr>
        <w:t xml:space="preserve">Application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child care assistance may be made at any local office of the department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470-3624 or 470-3624(S),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470-4377 or 470-4377(S), when returned after the end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filed by the applicant, by the applicant’s authorized representative or, when the applicant is incompetent or incapacitated, by a responsible person acting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application is the date a signed application form containing a legible name and address is received in the department office. An electronic or paper application delivered to a closed office is considered to be received on the first day following the day the office was last open that is not a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who are determined eligible for child care assistance shall be approved for a certification period of at least 12 months. Families who fail to complete the review and redetermination process as described at subrule </w:t>
      </w:r>
      <w:hyperlink r:id="rId27">
        <w:r>
          <w:rPr>
            <w:rStyle w:val="Hyperlink"/>
            <w:rFonts w:ascii="Times New Roman" w:hAnsi="Times New Roman"/>
            <w:b w:val="false"/>
            <w:i w:val="false"/>
            <w:color w:val="000000"/>
            <w:sz w:val="22"/>
          </w:rPr>
          <w:t>170.3(5)</w:t>
        </w:r>
      </w:hyperlink>
      <w:r>
        <w:rPr>
          <w:rFonts w:ascii="Times New Roman" w:hAnsi="Times New Roman"/>
          <w:b w:val="false"/>
          <w:i w:val="false"/>
          <w:color w:val="000000"/>
          <w:sz w:val="22"/>
        </w:rPr>
        <w:t xml:space="preserve"> will lose eligibility at the end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application requirement. </w:t>
      </w:r>
      <w:r>
        <w:rPr>
          <w:rFonts w:ascii="Times New Roman" w:hAnsi="Times New Roman"/>
          <w:b w:val="false"/>
          <w:i w:val="false"/>
          <w:color w:val="000000"/>
          <w:sz w:val="22"/>
        </w:rPr>
        <w:t>An application is not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is participating in activities approved under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of the family investment program or those whose earned income was taken into account in determining the needs of family investment program recipients. The date of application is the date the family requests child care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with protective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care services provided under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Families whose application has been denied for failure to provide requested information who have provided all necessary information to determine eligibility within 14 days of the denial of the application, or by the next working day if the fourteenth day falls on a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Licensed foster parents who need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processing. </w:t>
      </w:r>
      <w:r>
        <w:rPr>
          <w:rFonts w:ascii="Times New Roman" w:hAnsi="Times New Roman"/>
          <w:b w:val="false"/>
          <w:i w:val="false"/>
          <w:color w:val="000000"/>
          <w:sz w:val="22"/>
        </w:rPr>
        <w:t>The department shall approve or deny an application as soon as possible, but no later than 30 days following the date the application was received. This time limit shall apply except in unusual circumstances, such as when the department and the applicant have made every reasonable effort to secure necessary information that has not been supplied by the date the time limit expires,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worker or PROMISE JOBS worker shall determine the number of units of service authorized for each eligible family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 the family through the notice of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family’s provider through the notice of decision or through Form 470-4444.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written notice of decision to the applicant by the next working day following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assistance shall be the date of application or the date the need for service began, whichever is later. When an application is not required as described under subrule </w:t>
      </w:r>
      <w:hyperlink r:id="rId28">
        <w:r>
          <w:rPr>
            <w:rStyle w:val="Hyperlink"/>
            <w:rFonts w:ascii="Times New Roman" w:hAnsi="Times New Roman"/>
            <w:b w:val="false"/>
            <w:i w:val="false"/>
            <w:color w:val="000000"/>
            <w:sz w:val="22"/>
          </w:rPr>
          <w:t>170.3(2)</w:t>
        </w:r>
      </w:hyperlink>
      <w:r>
        <w:rPr>
          <w:rFonts w:ascii="Times New Roman" w:hAnsi="Times New Roman"/>
          <w:b w:val="false"/>
          <w:i w:val="false"/>
          <w:color w:val="000000"/>
          <w:sz w:val="22"/>
        </w:rPr>
        <w:t>, the effective date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person participating in activities under the PROMISE JOBS program, the effective date of child care assistance shall be the date the person becomes a PROMISE JOBS participant as defined in rule </w:t>
      </w:r>
      <w:hyperlink r:id="rId29">
        <w:r>
          <w:rPr>
            <w:rStyle w:val="Hyperlink"/>
            <w:rFonts w:ascii="Times New Roman" w:hAnsi="Times New Roman"/>
            <w:b w:val="false"/>
            <w:i w:val="false"/>
            <w:color w:val="000000"/>
            <w:sz w:val="22"/>
          </w:rPr>
          <w:t>441—93.1</w:t>
        </w:r>
      </w:hyperlink>
      <w:r>
        <w:rPr>
          <w:rFonts w:ascii="Times New Roman" w:hAnsi="Times New Roman"/>
          <w:b w:val="false"/>
          <w:i w:val="false"/>
          <w:color w:val="000000"/>
          <w:sz w:val="22"/>
        </w:rPr>
        <w:t xml:space="preserve">(239B) or the date the person has a need for child care assistance to participate in an approved PROMISE JOBS activity as described in </w:t>
      </w:r>
      <w:hyperlink r:id="rId30">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family receiving family investment program benefits, the effective date of child care assistance shall be no earlier than the effective date of family investment program benefits, or 30 days before the date of application for child care assistance, or the date the need for service began, whichever is the latest.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family with protective service needs, the effective date of assistance shall be the date the family signs Form 470-0615 or 470-0615(S).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child care services are provided under a court order, the effective date of assistance shall be the date specified in the court order or the date of the court order if no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family whose application was denied for failure to provide requested information but who provides all information necessary to determine eligibility, including verification of all changes in circumstances, within 14 days of the denial, the effective date of assistance shall be the date that all information required to establish eligibility is provided. If the fourteenth calendar day falls on a weekend or state holiday, the family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170.3(4)</w:t>
      </w:r>
      <w:r>
        <w:rPr>
          <w:rFonts w:ascii="Times New Roman" w:hAnsi="Times New Roman"/>
          <w:b w:val="false"/>
          <w:i w:val="false"/>
          <w:color w:val="000000"/>
          <w:sz w:val="22"/>
        </w:rPr>
        <w:t> </w:t>
      </w:r>
      <w:r>
        <w:rPr>
          <w:rFonts w:ascii="Times New Roman" w:hAnsi="Times New Roman"/>
          <w:b w:val="false"/>
          <w:i/>
          <w:color w:val="000000"/>
          <w:sz w:val="22"/>
        </w:rPr>
        <w:t xml:space="preserve">Waiting lists for child care services. </w:t>
      </w:r>
      <w:r>
        <w:rPr>
          <w:rFonts w:ascii="Times New Roman" w:hAnsi="Times New Roman"/>
          <w:b w:val="false"/>
          <w:i w:val="false"/>
          <w:color w:val="000000"/>
          <w:sz w:val="22"/>
        </w:rPr>
        <w:t xml:space="preserve">When the department has determined that there may be insufficient funding, applications for child care assistance shall be taken only for the priority groups for which funds have been determined available according to subrule </w:t>
      </w:r>
      <w:hyperlink r:id="rId31">
        <w:r>
          <w:rPr>
            <w:rStyle w:val="Hyperlink"/>
            <w:rFonts w:ascii="Times New Roman" w:hAnsi="Times New Roman"/>
            <w:b w:val="false"/>
            <w:i w:val="false"/>
            <w:color w:val="000000"/>
            <w:sz w:val="22"/>
          </w:rPr>
          <w:t>170.2(3)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log of families applying for child care services that meet the requirements within the priority groups for which funds may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family shall be entered on the logs according to their eligibility priority group and in sequence of their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more than one application is received on the same day for the same priority group, families shall be entered on the log based on the day of the month of the birthday of the oldest eligible child. The lowest numbered day shall be first on the log. Any subsequent tie shall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there is adequate funding, the department shall notify the public regarding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170.3(5)</w:t>
      </w:r>
      <w:r>
        <w:rPr>
          <w:rFonts w:ascii="Times New Roman" w:hAnsi="Times New Roman"/>
          <w:b w:val="false"/>
          <w:i w:val="false"/>
          <w:color w:val="000000"/>
          <w:sz w:val="22"/>
        </w:rPr>
        <w:t> </w:t>
      </w:r>
      <w:r>
        <w:rPr>
          <w:rFonts w:ascii="Times New Roman" w:hAnsi="Times New Roman"/>
          <w:b w:val="false"/>
          <w:i/>
          <w:color w:val="000000"/>
          <w:sz w:val="22"/>
        </w:rPr>
        <w:t xml:space="preserve">Review and redetermination. </w:t>
      </w:r>
      <w:r>
        <w:rPr>
          <w:rFonts w:ascii="Times New Roman" w:hAnsi="Times New Roman"/>
          <w:b w:val="false"/>
          <w:i w:val="false"/>
          <w:color w:val="000000"/>
          <w:sz w:val="22"/>
        </w:rPr>
        <w:t xml:space="preserve">The department shall redetermine a family’s financial and general eligibility for child care assistance at least every 12 months. </w:t>
      </w:r>
      <w:r>
        <w:rPr>
          <w:rFonts w:ascii="Times New Roman" w:hAnsi="Times New Roman"/>
          <w:b w:val="false"/>
          <w:i w:val="false"/>
          <w:color w:val="000000"/>
          <w:sz w:val="22"/>
        </w:rPr>
        <w:t xml:space="preserve">EXCEPTION: </w:t>
      </w:r>
      <w:r>
        <w:rPr>
          <w:rFonts w:ascii="Times New Roman" w:hAnsi="Times New Roman"/>
          <w:b w:val="false"/>
          <w:i w:val="false"/>
          <w:color w:val="000000"/>
          <w:sz w:val="22"/>
        </w:rPr>
        <w:t>The department shall redetermine only general eligibility for recipients of the family investment program (FIP), persons whose earned income was taken into account in determining the needs of FIP recipients, and parents who have children with protective needs, because these families are deemed financially eligible so long as the FIP eligibility or need for protective services continues.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FIP or protective services eligibility ends, the department shall redetermine financial and general eligibility for child care assistance according to the requirements in rule </w:t>
      </w:r>
      <w:hyperlink r:id="rId32">
        <w:r>
          <w:rPr>
            <w:rStyle w:val="Hyperlink"/>
            <w:rFonts w:ascii="Times New Roman" w:hAnsi="Times New Roman"/>
            <w:b w:val="false"/>
            <w:i w:val="false"/>
            <w:color w:val="000000"/>
            <w:sz w:val="22"/>
          </w:rPr>
          <w:t>441—170.2</w:t>
        </w:r>
      </w:hyperlink>
      <w:r>
        <w:rPr>
          <w:rFonts w:ascii="Times New Roman" w:hAnsi="Times New Roman"/>
          <w:b w:val="false"/>
          <w:i w:val="false"/>
          <w:color w:val="000000"/>
          <w:sz w:val="22"/>
        </w:rPr>
        <w:t>(237A,239B). The redetermination of eligibility shall be completed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use information gathered on Form 470-4377 or 470-4377(S) to redetermine eligibility, except when the family is not required to complete a review form as provided in paragraph </w:t>
      </w:r>
      <w:hyperlink r:id="rId33">
        <w:r>
          <w:rPr>
            <w:rStyle w:val="Hyperlink"/>
            <w:rFonts w:ascii="Times New Roman" w:hAnsi="Times New Roman"/>
            <w:b w:val="false"/>
            <w:i w:val="false"/>
            <w:color w:val="000000"/>
            <w:sz w:val="22"/>
          </w:rPr>
          <w:t>170.3(5)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expiration for the child care assistance certification period on Form 470-4377 or 470-4377(S).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family does not return a complete review form to the department by the end of the certification period, the family must reapply for benefits, except as provided in paragraph </w:t>
      </w:r>
      <w:hyperlink r:id="rId34">
        <w:r>
          <w:rPr>
            <w:rStyle w:val="Hyperlink"/>
            <w:rFonts w:ascii="Times New Roman" w:hAnsi="Times New Roman"/>
            <w:b w:val="false"/>
            <w:i w:val="false"/>
            <w:color w:val="000000"/>
            <w:sz w:val="22"/>
          </w:rPr>
          <w:t>170.3(6)</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complete review form is Form 470-4377 or 470-4377(S) with all items answered that is signed and dated by the applicant and is accompanied by all verification needed to determine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Families who have children with protective needs, licensed foster parents who need child care for foster children, and families who are receiving child care assistance because the parent is participating in activities under the PROMISE JOBS program are not required to complete Form 470-4377 or 470-4377(S).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expiration for the child care assistance certification period on the notice of decision when the department approves the family’s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gather information needed to redetermine general eligibility. If the department needs information from the family, the department will send a written request to the family. If the family does not return the requested information by the due date, the family must reapply for child care assistance, except as provided in paragraph </w:t>
      </w:r>
      <w:hyperlink r:id="rId35">
        <w:r>
          <w:rPr>
            <w:rStyle w:val="Hyperlink"/>
            <w:rFonts w:ascii="Times New Roman" w:hAnsi="Times New Roman"/>
            <w:b w:val="false"/>
            <w:i w:val="false"/>
            <w:color w:val="000000"/>
            <w:sz w:val="22"/>
          </w:rPr>
          <w:t>170.3(6)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Families who apply for child care assistance because the parent is seeking employment are not subject to review requirements because eligibility is limited to 90 consecutive calendar days. This waiver of the review requirement applies only when the parent who is seeking employment does not have another need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170.3(6)</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shall be reinstated without a new application when all necessary information is provided before the effective date of cancellation and eligibility can be reestablished. If there is a change in circumstances, the change must be verified before the case will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shall be reinstated without a new application when the case was canceled for failure to provide requested information but all information necessary to determine eligibility, including verification of all changes in circumstances, is provided within 14 calendar days of the effective date of cancellation and eligibility can be reestablished. If the fourteenth calendar day falls on a weekend or state holiday, the family shall have until the next business day to provide the information. The effective date of child care assistance shall be the date that all information required to establish eligibility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441—170.4</w:t>
      </w:r>
      <w:r>
        <w:rPr>
          <w:rFonts w:ascii="Times New Roman" w:hAnsi="Times New Roman"/>
          <w:b/>
          <w:i w:val="false"/>
          <w:color w:val="000000"/>
          <w:sz w:val="22"/>
        </w:rPr>
        <w:t xml:space="preserve">(237A) </w:t>
      </w:r>
      <w:r>
        <w:rPr>
          <w:rFonts w:ascii="Times New Roman" w:hAnsi="Times New Roman"/>
          <w:b/>
          <w:i w:val="false"/>
          <w:color w:val="000000"/>
          <w:sz w:val="22"/>
        </w:rPr>
        <w:t xml:space="preserve">Elements of service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170.4(1)</w:t>
      </w:r>
      <w:r>
        <w:rPr>
          <w:rFonts w:ascii="Times New Roman" w:hAnsi="Times New Roman"/>
          <w:b w:val="false"/>
          <w:i w:val="false"/>
          <w:color w:val="000000"/>
          <w:sz w:val="22"/>
        </w:rPr>
        <w:t> </w:t>
      </w:r>
      <w:r>
        <w:rPr>
          <w:rFonts w:ascii="Times New Roman" w:hAnsi="Times New Roman"/>
          <w:b w:val="false"/>
          <w:i/>
          <w:color w:val="000000"/>
          <w:sz w:val="22"/>
        </w:rPr>
        <w:t xml:space="preserve">Case file. </w:t>
      </w:r>
      <w:r>
        <w:rPr>
          <w:rFonts w:ascii="Times New Roman" w:hAnsi="Times New Roman"/>
          <w:b w:val="false"/>
          <w:i w:val="false"/>
          <w:color w:val="000000"/>
          <w:sz w:val="22"/>
        </w:rPr>
        <w:t xml:space="preserve">The child welfare case file shall document the eligibility for service under </w:t>
      </w:r>
      <w:hyperlink r:id="rId36">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for services received shall be charged to clients according to the schedules in this subrule, except that fees shall not be charged to clients receiving services without regard to income. For families whose eligibility is established in subparagraphs </w:t>
      </w:r>
      <w:hyperlink r:id="rId37">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8">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fee is a per-unit charge that is applied to the child in the family who receives the largest number of units of service. The fee shall be charged for only one child in the family, regardless of how many children receive assistance. For families whose eligibility is established in </w:t>
      </w:r>
      <w:hyperlink r:id="rId39">
        <w:r>
          <w:rPr>
            <w:rStyle w:val="Hyperlink"/>
            <w:rFonts w:ascii="Times New Roman" w:hAnsi="Times New Roman"/>
            <w:b w:val="false"/>
            <w:i w:val="false"/>
            <w:color w:val="000000"/>
            <w:sz w:val="22"/>
          </w:rPr>
          <w:t>subparagraph 170.2(1)</w:t>
        </w:r>
      </w:hyperlink>
      <w:r>
        <w:rPr>
          <w:rFonts w:ascii="Times New Roman" w:hAnsi="Times New Roman"/>
          <w:b w:val="false"/>
          <w:i/>
          <w:color w:val="000000"/>
          <w:sz w:val="22"/>
        </w:rPr>
        <w:t>“a”</w:t>
      </w:r>
      <w:r>
        <w:rPr>
          <w:rFonts w:ascii="Times New Roman" w:hAnsi="Times New Roman"/>
          <w:b w:val="false"/>
          <w:i w:val="false"/>
          <w:color w:val="000000"/>
          <w:sz w:val="22"/>
        </w:rPr>
        <w:t>(3), the fee is a percentage of the cost of child care for each child in the family who receives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Sliding 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families whose eligibility is established in subparagraphs </w:t>
      </w:r>
      <w:hyperlink r:id="rId40">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41">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(2), the child care assistance (CCA) and CCA plus programs fee schedule, dated July 2024, found on the department’s website is effective for eligibility determinations made on or after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families whose eligibility is established in subparagraph </w:t>
      </w:r>
      <w:hyperlink r:id="rId42">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(3), the CCA exit program fee schedule, dated July 2024, found on the department’s website is effective for eligibility determinations made on or after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The provider shall collect fees from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of fees collected. These records shall be available for audit by the department or its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client does not pay the fee, the provider shall demonstrate that a reasonable effort has been made to collect the fee. “Reasonable effort to collect” means an original billing and two follow-up notices of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Inability of client to pay fees. </w:t>
      </w:r>
      <w:r>
        <w:rPr>
          <w:rFonts w:ascii="Times New Roman" w:hAnsi="Times New Roman"/>
          <w:b w:val="false"/>
          <w:i w:val="false"/>
          <w:color w:val="000000"/>
          <w:sz w:val="22"/>
        </w:rPr>
        <w:t>Child care assistance may be continued without a fee, or with a reduced fee, when a client reports in writing the inability to pay the assessed fee due to the existence of one or more of the conditions set forth below. Before reducing the fee, the worker shall assess the case to verify that the condition exists and to determine whether a reduced fee can be charged. The reduced fee shall then be charged until the condition justifying the reduced fee no longer exists. Reduced fees may be justified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Extensive medical bills for which there is no payment through insurance coverage or other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Shelter costs that exceed 30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costs not including the cost of a telephone that exceed 15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expenses for food resulting from diets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170.4(3)</w:t>
      </w:r>
      <w:r>
        <w:rPr>
          <w:rFonts w:ascii="Times New Roman" w:hAnsi="Times New Roman"/>
          <w:b w:val="false"/>
          <w:i w:val="false"/>
          <w:color w:val="000000"/>
          <w:sz w:val="22"/>
        </w:rPr>
        <w:t> </w:t>
      </w:r>
      <w:r>
        <w:rPr>
          <w:rFonts w:ascii="Times New Roman" w:hAnsi="Times New Roman"/>
          <w:b w:val="false"/>
          <w:i/>
          <w:color w:val="000000"/>
          <w:sz w:val="22"/>
        </w:rPr>
        <w:t xml:space="preserve">Method of provision. </w:t>
      </w:r>
      <w:r>
        <w:rPr>
          <w:rFonts w:ascii="Times New Roman" w:hAnsi="Times New Roman"/>
          <w:b w:val="false"/>
          <w:i w:val="false"/>
          <w:color w:val="000000"/>
          <w:sz w:val="22"/>
        </w:rPr>
        <w:t xml:space="preserve">Parents shall be allowed to exercise their choice for in-home care, except when the parent meets the need for service under subparagraph </w:t>
      </w:r>
      <w:hyperlink r:id="rId43">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long as the conditions in paragraph </w:t>
      </w:r>
      <w:hyperlink r:id="rId44">
        <w:r>
          <w:rPr>
            <w:rStyle w:val="Hyperlink"/>
            <w:rFonts w:ascii="Times New Roman" w:hAnsi="Times New Roman"/>
            <w:b w:val="false"/>
            <w:i w:val="false"/>
            <w:color w:val="000000"/>
            <w:sz w:val="22"/>
          </w:rPr>
          <w:t>170.4(7)</w:t>
        </w:r>
        <w:r>
          <w:rPr>
            <w:rFonts w:ascii="Times New Roman" w:hAnsi="Times New Roman"/>
            <w:b w:val="false"/>
            <w:i/>
            <w:color w:val="000000"/>
            <w:sz w:val="22"/>
          </w:rPr>
          <w:t>“d”</w:t>
        </w:r>
      </w:hyperlink>
      <w:r>
        <w:rPr>
          <w:rFonts w:ascii="Times New Roman" w:hAnsi="Times New Roman"/>
          <w:b w:val="false"/>
          <w:i w:val="false"/>
          <w:color w:val="000000"/>
          <w:sz w:val="22"/>
        </w:rPr>
        <w:t xml:space="preserve"> are met. When the child meets the need for service under </w:t>
      </w:r>
      <w:hyperlink r:id="rId45">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parents shall be allowed to exercise their choice of licensed, registered, or nonregistered child care provider except when the department service worker determines it is not in the best interest of the child. The provider must meet one of the applicable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Licensed child care center. </w:t>
      </w:r>
      <w:r>
        <w:rPr>
          <w:rFonts w:ascii="Times New Roman" w:hAnsi="Times New Roman"/>
          <w:b w:val="false"/>
          <w:i w:val="false"/>
          <w:color w:val="000000"/>
          <w:sz w:val="22"/>
        </w:rPr>
        <w:t xml:space="preserve">A child care center shall be licensed by the department to meet the requirements set forth in </w:t>
      </w:r>
      <w:hyperlink r:id="rId4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xml:space="preserve"> and shall have a current Form 470-0618.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Registered child development home. </w:t>
      </w:r>
      <w:r>
        <w:rPr>
          <w:rFonts w:ascii="Times New Roman" w:hAnsi="Times New Roman"/>
          <w:b w:val="false"/>
          <w:i w:val="false"/>
          <w:color w:val="000000"/>
          <w:sz w:val="22"/>
        </w:rPr>
        <w:t xml:space="preserve">A child development home shall meet the requirements for registration set forth in </w:t>
      </w:r>
      <w:hyperlink r:id="rId47">
        <w:r>
          <w:rPr>
            <w:rStyle w:val="Hyperlink"/>
            <w:rFonts w:ascii="Times New Roman" w:hAnsi="Times New Roman"/>
            <w:b w:val="false"/>
            <w:i w:val="false"/>
            <w:color w:val="000000"/>
            <w:sz w:val="22"/>
          </w:rPr>
          <w:t>441—Chapter 110</w:t>
        </w:r>
      </w:hyperlink>
      <w:r>
        <w:rPr>
          <w:rFonts w:ascii="Times New Roman" w:hAnsi="Times New Roman"/>
          <w:b w:val="false"/>
          <w:i w:val="false"/>
          <w:color w:val="000000"/>
          <w:sz w:val="22"/>
        </w:rPr>
        <w:t xml:space="preserve"> and shall have a current Form 470-3498.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Out-of-state provider. </w:t>
      </w:r>
      <w:r>
        <w:rPr>
          <w:rFonts w:ascii="Times New Roman" w:hAnsi="Times New Roman"/>
          <w:b w:val="false"/>
          <w:i w:val="false"/>
          <w:color w:val="000000"/>
          <w:sz w:val="22"/>
        </w:rPr>
        <w:t>A child care provider who is not located in Iowa may be selected by the parent so long as the out-of-state child care provider verifies that the provider meets all of the requirements to be a provider in the state in which the provider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Relative care.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4/1/02.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In-home care. </w:t>
      </w:r>
      <w:r>
        <w:rPr>
          <w:rFonts w:ascii="Times New Roman" w:hAnsi="Times New Roman"/>
          <w:b w:val="false"/>
          <w:i w:val="false"/>
          <w:color w:val="000000"/>
          <w:sz w:val="22"/>
        </w:rPr>
        <w:t>The adult provider selected by the parent to provide care in the child’s own home shall be sent Form 470-2890 or 470-2890(S). The provider shall complete and sign Form 470-2890 or 470-2890(S) and return the form to the department before payment may be made. An identifiable application is an application that contains a legible name and address and that has been signed. Signature on the form certifies the provider’s understanding of and compliance with the conditions and requirements for nonregistered in-home care providers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The provider shall complete: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provider agreement and every five years thereafter, minimum health and safety trainings, approved by the department, in the following content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Handling and storage of hazardous materials and appropriate disposal of biocontaminants.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Minimum health and safety training may be required prior to the five-year period if content has significant changes which warrant that the training be renewed.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provider agreement, two hours of Iowa’s training for mandatory reporting of child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to provider agreement, first-aid and cardiopulmonary resuscitation (CPR) training meeting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shall be provided by a nationally recognized training organization, such as the American Red Cross, American Heart Association, National Safety Council, American Safety and Health Institute or MEDIC First Aid or by an equivalent trainer using curriculum approved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First-aid training shall include certification in infant and child first aid.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provider shall maintain a valid certificate indicating the date of first-aid training and the expiration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Limits on the number of children for whom care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Unlimited parental access to the child or children during hours when care is provided, unless prohibited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Conditions that warrant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Nonregistered family child care home. </w:t>
      </w:r>
      <w:r>
        <w:rPr>
          <w:rFonts w:ascii="Times New Roman" w:hAnsi="Times New Roman"/>
          <w:b w:val="false"/>
          <w:i w:val="false"/>
          <w:color w:val="000000"/>
          <w:sz w:val="22"/>
        </w:rPr>
        <w:t xml:space="preserve">A nonregistered child care home shall meet the requirements set forth in </w:t>
      </w:r>
      <w:hyperlink r:id="rId48">
        <w:r>
          <w:rPr>
            <w:rStyle w:val="Hyperlink"/>
            <w:rFonts w:ascii="Times New Roman" w:hAnsi="Times New Roman"/>
            <w:b w:val="false"/>
            <w:i w:val="false"/>
            <w:color w:val="000000"/>
            <w:sz w:val="22"/>
          </w:rPr>
          <w:t>441—Chapter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for in-home care. </w:t>
      </w:r>
      <w:r>
        <w:rPr>
          <w:rFonts w:ascii="Times New Roman" w:hAnsi="Times New Roman"/>
          <w:b w:val="false"/>
          <w:i w:val="false"/>
          <w:color w:val="000000"/>
          <w:sz w:val="22"/>
        </w:rPr>
        <w:t>If a person who provides in-home care applies to receive public funds as reimbursement for providing child care for eligible clients, the provider shall complete and submit the required authorization form(s) to the department. The department shall use the form(s) to conduct Iowa criminal history record and child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checks is to determine whether the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and child abuse record checks in other states and may conduct dependent adult abuse, sex offender registry, and other public or civil offense record checks in Iowa or in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checks shall be repeated every two years and when the department or provider becomes aware of any new transgressions.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for in-home care. </w:t>
      </w:r>
      <w:r>
        <w:rPr>
          <w:rFonts w:ascii="Times New Roman" w:hAnsi="Times New Roman"/>
          <w:b w:val="false"/>
          <w:i w:val="false"/>
          <w:color w:val="000000"/>
          <w:sz w:val="22"/>
        </w:rPr>
        <w:t>If a person who provides in-home care applies to receive public funds as reimbursement for providing child care for eligible clients, the provider shall complete Form DCI-45 and Form FD-258.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subject to this check shall submit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subject to this check is responsible for any costs associated with obtaining the fingerprints and for submitting the prints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Fingerprints may be taken (rolled) by law enforcement agencies or by agencies or companies that specialize in taking fingerprints.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national criminal history record check shall be repeated for each person subject to the check every four years and when the department or provider becomes aware of any new transgressions committed by that person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Transgressions. </w:t>
      </w:r>
      <w:r>
        <w:rPr>
          <w:rFonts w:ascii="Times New Roman" w:hAnsi="Times New Roman"/>
          <w:b w:val="false"/>
          <w:i w:val="false"/>
          <w:color w:val="000000"/>
          <w:sz w:val="22"/>
        </w:rPr>
        <w:t xml:space="preserve">If any person subject to the record checks in paragraph </w:t>
      </w:r>
      <w:hyperlink r:id="rId49">
        <w:r>
          <w:rPr>
            <w:rStyle w:val="Hyperlink"/>
            <w:rFonts w:ascii="Times New Roman" w:hAnsi="Times New Roman"/>
            <w:b w:val="false"/>
            <w:i w:val="false"/>
            <w:color w:val="000000"/>
            <w:sz w:val="22"/>
          </w:rPr>
          <w:t>170.4(3)</w:t>
        </w:r>
        <w:r>
          <w:rPr>
            <w:rFonts w:ascii="Times New Roman" w:hAnsi="Times New Roman"/>
            <w:b w:val="false"/>
            <w:i/>
            <w:color w:val="000000"/>
            <w:sz w:val="22"/>
          </w:rPr>
          <w:t>“g”</w:t>
        </w:r>
      </w:hyperlink>
      <w:r>
        <w:rPr>
          <w:rFonts w:ascii="Times New Roman" w:hAnsi="Times New Roman"/>
          <w:b w:val="false"/>
          <w:i w:val="false"/>
          <w:color w:val="000000"/>
          <w:sz w:val="22"/>
        </w:rPr>
        <w:t xml:space="preserve"> or </w:t>
      </w:r>
      <w:hyperlink r:id="rId50">
        <w:r>
          <w:rPr>
            <w:rStyle w:val="Hyperlink"/>
            <w:rFonts w:ascii="Times New Roman" w:hAnsi="Times New Roman"/>
            <w:b w:val="false"/>
            <w:i w:val="false"/>
            <w:color w:val="000000"/>
            <w:sz w:val="22"/>
          </w:rPr>
          <w:t>170.4(3)</w:t>
        </w:r>
        <w:r>
          <w:rPr>
            <w:rFonts w:ascii="Times New Roman" w:hAnsi="Times New Roman"/>
            <w:b w:val="false"/>
            <w:i/>
            <w:color w:val="000000"/>
            <w:sz w:val="22"/>
          </w:rPr>
          <w:t>“h”</w:t>
        </w:r>
      </w:hyperlink>
      <w:r>
        <w:rPr>
          <w:rFonts w:ascii="Times New Roman" w:hAnsi="Times New Roman"/>
          <w:b w:val="false"/>
          <w:i w:val="false"/>
          <w:color w:val="000000"/>
          <w:sz w:val="22"/>
        </w:rPr>
        <w:t xml:space="preserve"> has a record of founded child abuse, dependent adult abuse, a criminal conviction, or placement on the sex offender registry, the department shall follow the process for prohibition or evaluation defined at 441—subrule 120.11(3).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any person would be prohibited from registration, employment, or residence, the person shall not provide child care and is not eligible to receive public funds to do so. The department’s designee shall notify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continues to provide child care in violation of this rule is subject to penalty and injunction under Iowa Code chapter </w:t>
      </w:r>
      <w:hyperlink r:id="rId51">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170.4(4)</w:t>
      </w:r>
      <w:r>
        <w:rPr>
          <w:rFonts w:ascii="Times New Roman" w:hAnsi="Times New Roman"/>
          <w:b w:val="false"/>
          <w:i w:val="false"/>
          <w:color w:val="000000"/>
          <w:sz w:val="22"/>
        </w:rPr>
        <w:t> </w:t>
      </w:r>
      <w:r>
        <w:rPr>
          <w:rFonts w:ascii="Times New Roman" w:hAnsi="Times New Roman"/>
          <w:b w:val="false"/>
          <w:i/>
          <w:color w:val="000000"/>
          <w:sz w:val="22"/>
        </w:rPr>
        <w:t xml:space="preserve">Components of service program. </w:t>
      </w:r>
      <w:r>
        <w:rPr>
          <w:rFonts w:ascii="Times New Roman" w:hAnsi="Times New Roman"/>
          <w:b w:val="false"/>
          <w:i w:val="false"/>
          <w:color w:val="000000"/>
          <w:sz w:val="22"/>
        </w:rPr>
        <w:t>Every child eligible for child care services shall receive supervision, food services, and program and activities, and may receive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170.4(5)</w:t>
      </w:r>
      <w:r>
        <w:rPr>
          <w:rFonts w:ascii="Times New Roman" w:hAnsi="Times New Roman"/>
          <w:b w:val="false"/>
          <w:i w:val="false"/>
          <w:color w:val="000000"/>
          <w:sz w:val="22"/>
        </w:rPr>
        <w:t> </w:t>
      </w:r>
      <w:r>
        <w:rPr>
          <w:rFonts w:ascii="Times New Roman" w:hAnsi="Times New Roman"/>
          <w:b w:val="false"/>
          <w:i/>
          <w:color w:val="000000"/>
          <w:sz w:val="22"/>
        </w:rPr>
        <w:t xml:space="preserve">Levels of service according to age.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9/30/92</w:t>
      </w:r>
      <w:r>
        <w:rPr>
          <w:rFonts w:ascii="Times New Roman" w:hAnsi="Times New Roman"/>
          <w:b w:val="false"/>
          <w:i w:val="false"/>
          <w:color w:val="000000"/>
          <w:sz w:val="22"/>
        </w:rPr>
        <w:t>, effective 10/1/92.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170.4(6)</w:t>
      </w:r>
      <w:r>
        <w:rPr>
          <w:rFonts w:ascii="Times New Roman" w:hAnsi="Times New Roman"/>
          <w:b w:val="false"/>
          <w:i w:val="false"/>
          <w:color w:val="000000"/>
          <w:sz w:val="22"/>
        </w:rPr>
        <w:t> </w:t>
      </w:r>
      <w:r>
        <w:rPr>
          <w:rFonts w:ascii="Times New Roman" w:hAnsi="Times New Roman"/>
          <w:b w:val="false"/>
          <w:i/>
          <w:color w:val="000000"/>
          <w:sz w:val="22"/>
        </w:rPr>
        <w:t xml:space="preserve">Provider’s individual program plan.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2/10/10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170.4(7)</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department shall make payment for child care provided to an eligible family when the family reports their choice of provider to the department and the provider has a completed Form 470-3871 or 470-3871(S) on file with the department. Both the child care provider and the department worker shall sign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of payment. </w:t>
      </w:r>
      <w:r>
        <w:rPr>
          <w:rFonts w:ascii="Times New Roman" w:hAnsi="Times New Roman"/>
          <w:b w:val="false"/>
          <w:i w:val="false"/>
          <w:color w:val="000000"/>
          <w:sz w:val="22"/>
        </w:rPr>
        <w:t xml:space="preserve">The rate of payment for child care services, except for in-home care, which shall be paid in accordance with paragraph </w:t>
      </w:r>
      <w:hyperlink r:id="rId52">
        <w:r>
          <w:rPr>
            <w:rStyle w:val="Hyperlink"/>
            <w:rFonts w:ascii="Times New Roman" w:hAnsi="Times New Roman"/>
            <w:b w:val="false"/>
            <w:i w:val="false"/>
            <w:color w:val="000000"/>
            <w:sz w:val="22"/>
          </w:rPr>
          <w:t>170.4(7)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the actual rate charged by the provider for a private individual, not to exceed the maximum rates shown below. When a provider does not have a half-day rate in effect, a rate is established by dividing the provider’s declared full-day rate by 2. When a provider has neither a half-day nor a full-day rate, a rate is established by multiplying the provider’s declared hourly rate by </w:t>
      </w:r>
      <w:hyperlink r:id="rId5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Payment shall not exceed the rate applicable to the provider type and age group as shown in the tables below. To be eligible for the special-needs rate, the provider must submit documentation to the child’s service worker that the child needing services has been assessed by a qualified professional and meets the definition for “child with special needs,” and a description of the child’s special needs, including but not limited to adaptive equipment, more careful supervision, or special staff training.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1</w:t>
            </w:r>
            <w:r>
              <w:br/>
            </w:r>
            <w:r>
              <w:rPr>
                <w:rFonts w:ascii="Times New Roman" w:hAnsi="Times New Roman"/>
                <w:b/>
                <w:i w:val="false"/>
                <w:color w:val="000000"/>
                <w:sz w:val="16"/>
              </w:rPr>
              <w:t>Half-Day Rate Ceilings for (Licensed Center)</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$19.50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$21.50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$22.97</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r>
      <w:tr>
        <w:trPr>
          <w:trHeight w:val="28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$16.50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$17.10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2</w:t>
            </w:r>
            <w:r>
              <w:br/>
            </w:r>
            <w:r>
              <w:rPr>
                <w:rFonts w:ascii="Times New Roman" w:hAnsi="Times New Roman"/>
                <w:b/>
                <w:i w:val="false"/>
                <w:color w:val="000000"/>
                <w:sz w:val="16"/>
              </w:rPr>
              <w:t>Half-Day Rate Ceilings for (Child Development Home A/B)</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$25.50</w:t>
            </w:r>
          </w:p>
        </w:tc>
      </w:tr>
      <w:tr>
        <w:trPr>
          <w:trHeight w:val="22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$15.25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$22.88</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$23.25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$15.75</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$23.63</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3</w:t>
            </w:r>
            <w:r>
              <w:br/>
            </w:r>
            <w:r>
              <w:rPr>
                <w:rFonts w:ascii="Times New Roman" w:hAnsi="Times New Roman"/>
                <w:b/>
                <w:i w:val="false"/>
                <w:color w:val="000000"/>
                <w:sz w:val="16"/>
              </w:rPr>
              <w:t>Half-Day Rate Ceilings for (Child Development Home C)</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$27.75</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$16.28</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$24.42</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$27.75</w:t>
            </w:r>
          </w:p>
        </w:tc>
      </w:tr>
      <w:tr>
        <w:trPr>
          <w:trHeight w:val="22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$23.63</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$16.44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$24.66</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r>
    </w:tbl>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44"/>
        <w:gridCol w:w="1843"/>
        <w:gridCol w:w="1843"/>
      </w:tblGrid>
      <w:tr>
        <w:trPr>
          <w:trHeight w:val="60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Table 4</w:t>
            </w:r>
            <w:r>
              <w:br/>
            </w:r>
            <w:r>
              <w:rPr>
                <w:rFonts w:ascii="Times New Roman" w:hAnsi="Times New Roman"/>
                <w:b/>
                <w:i w:val="false"/>
                <w:color w:val="000000"/>
                <w:sz w:val="16"/>
              </w:rPr>
              <w:t>Half-Day Rate Ceilings for Child Care Home (Not Registered)</w:t>
            </w:r>
          </w:p>
        </w:tc>
      </w:tr>
      <w:tr>
        <w:trPr>
          <w:trHeight w:val="225" w:hRule="atLeast"/>
        </w:trPr>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84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225" w:hRule="atLeast"/>
        </w:trPr>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84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r>
      <w:tr>
        <w:trPr>
          <w:trHeight w:val="225" w:hRule="atLeast"/>
        </w:trPr>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84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r>
      <w:tr>
        <w:trPr>
          <w:trHeight w:val="225" w:hRule="atLeast"/>
        </w:trPr>
        <w:tc>
          <w:tcPr>
            <w:tcW w:w="18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8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8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r>
    </w:tbl>
    <w:p>
      <w:pPr>
        <w:spacing w:before="0" w:after="0"/>
        <w:ind w:left="120"/>
        <w:jc w:val="both"/>
      </w:pPr>
      <w:r>
        <w:rPr>
          <w:rFonts w:ascii="Times New Roman" w:hAnsi="Times New Roman"/>
          <w:b w:val="false"/>
          <w:i w:val="false"/>
          <w:color w:val="000000"/>
          <w:sz w:val="22"/>
        </w:rPr>
        <w:t>The following definitions apply in the use of the rate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center” shall mean those providers as defined in </w:t>
      </w:r>
      <w:hyperlink r:id="rId54">
        <w:r>
          <w:rPr>
            <w:rStyle w:val="Hyperlink"/>
            <w:rFonts w:ascii="Times New Roman" w:hAnsi="Times New Roman"/>
            <w:b w:val="false"/>
            <w:i w:val="false"/>
            <w:color w:val="000000"/>
            <w:sz w:val="22"/>
          </w:rPr>
          <w:t>170.4(3)</w:t>
        </w:r>
        <w:r>
          <w:rPr>
            <w:rFonts w:ascii="Times New Roman" w:hAnsi="Times New Roman"/>
            <w:b w:val="false"/>
            <w:i/>
            <w:color w:val="000000"/>
            <w:sz w:val="22"/>
          </w:rPr>
          <w:t>“a.”</w:t>
        </w:r>
      </w:hyperlink>
      <w:r>
        <w:rPr>
          <w:rFonts w:ascii="Times New Roman" w:hAnsi="Times New Roman"/>
          <w:b w:val="false"/>
          <w:i w:val="false"/>
          <w:color w:val="000000"/>
          <w:sz w:val="22"/>
        </w:rPr>
        <w:t xml:space="preserve"> “Child development home A/B” or “child development home C” shall mean those providers as defined in </w:t>
      </w:r>
      <w:hyperlink r:id="rId55">
        <w:r>
          <w:rPr>
            <w:rStyle w:val="Hyperlink"/>
            <w:rFonts w:ascii="Times New Roman" w:hAnsi="Times New Roman"/>
            <w:b w:val="false"/>
            <w:i w:val="false"/>
            <w:color w:val="000000"/>
            <w:sz w:val="22"/>
          </w:rPr>
          <w:t>170.4(3)</w:t>
        </w:r>
        <w:r>
          <w:rPr>
            <w:rFonts w:ascii="Times New Roman" w:hAnsi="Times New Roman"/>
            <w:b w:val="false"/>
            <w:i/>
            <w:color w:val="000000"/>
            <w:sz w:val="22"/>
          </w:rPr>
          <w:t>“b.”</w:t>
        </w:r>
      </w:hyperlink>
      <w:r>
        <w:rPr>
          <w:rFonts w:ascii="Times New Roman" w:hAnsi="Times New Roman"/>
          <w:b w:val="false"/>
          <w:i w:val="false"/>
          <w:color w:val="000000"/>
          <w:sz w:val="22"/>
        </w:rPr>
        <w:t xml:space="preserve"> “Child care home (not registered)” shall mean those providers as defined in </w:t>
      </w:r>
      <w:hyperlink r:id="rId56">
        <w:r>
          <w:rPr>
            <w:rStyle w:val="Hyperlink"/>
            <w:rFonts w:ascii="Times New Roman" w:hAnsi="Times New Roman"/>
            <w:b w:val="false"/>
            <w:i w:val="false"/>
            <w:color w:val="000000"/>
            <w:sz w:val="22"/>
          </w:rPr>
          <w:t>441—Chapter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age group, “infant and toddler” shall mean age two weeks to three years; “preschool” shall mean three years to school age; “school age” shall mean a child in attendance in full-day or half-day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Quality Rating” shall mean a provider who does not have a current quality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who is rated under the quality rating system shall be paid according to the corresponding quality rating payment level in the tables above only during the period the rating is valid as defined in </w:t>
      </w:r>
      <w:hyperlink r:id="rId57">
        <w:r>
          <w:rPr>
            <w:rStyle w:val="Hyperlink"/>
            <w:rFonts w:ascii="Times New Roman" w:hAnsi="Times New Roman"/>
            <w:b w:val="false"/>
            <w:i w:val="false"/>
            <w:color w:val="000000"/>
            <w:sz w:val="22"/>
          </w:rPr>
          <w:t>441—Chapter 118</w:t>
        </w:r>
      </w:hyperlink>
      <w:r>
        <w:rPr>
          <w:rFonts w:ascii="Times New Roman" w:hAnsi="Times New Roman"/>
          <w:b w:val="false"/>
          <w:i w:val="false"/>
          <w:color w:val="000000"/>
          <w:sz w:val="22"/>
        </w:rPr>
        <w:t>. If the provider’s quality rating expires, the provider shall be paid according to the “No Quality Rating” payment level. Programs whose quality rating has expired shall not receive backdated payments once a new rating is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provider rated “Quality Rating 1” through “Quality Rating 4,” if the rating period expires before a new quality level is approved, the provider will be paid according to the “No Quality Rating” payment level until the new quality level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provider rated “Quality Rating 5,” if a renewal application is received before the current rating period expires, the provider will continue to be paid according to the “Quality Rating 5” payment level until a decision is made on the provider’s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Rating 1 or 2” shall mean a provider who has achieved a rating of Level 1 or Level 2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“Quality Rating 3 or 4” shall mean a provider who has achieved a rating of Level 3 or Level 4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“Quality Rating 5” shall mean a provider who has achieved a rating of Level 5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for days of absence. </w:t>
      </w:r>
      <w:r>
        <w:rPr>
          <w:rFonts w:ascii="Times New Roman" w:hAnsi="Times New Roman"/>
          <w:b w:val="false"/>
          <w:i w:val="false"/>
          <w:color w:val="000000"/>
          <w:sz w:val="22"/>
        </w:rPr>
        <w:t xml:space="preserve">Payment may be made to a child care provider defined in subrule </w:t>
      </w:r>
      <w:hyperlink r:id="rId58">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 xml:space="preserve"> for an individual child not in attendance at a child care facility not to exceed four days per calendar month providing that the child is regularly scheduled on those days and the provider also charges a private individual for days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multiple children in a family. </w:t>
      </w:r>
      <w:r>
        <w:rPr>
          <w:rFonts w:ascii="Times New Roman" w:hAnsi="Times New Roman"/>
          <w:b w:val="false"/>
          <w:i w:val="false"/>
          <w:color w:val="000000"/>
          <w:sz w:val="22"/>
        </w:rPr>
        <w:t>When a provider reduces the charges for the second and any subsequent children in a family with multiple children whose care is unsubsidized, the rate of payment made by the department for a family with multiple children shall be similarly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in-home care. </w:t>
      </w:r>
      <w:r>
        <w:rPr>
          <w:rFonts w:ascii="Times New Roman" w:hAnsi="Times New Roman"/>
          <w:b w:val="false"/>
          <w:i w:val="false"/>
          <w:color w:val="000000"/>
          <w:sz w:val="22"/>
        </w:rPr>
        <w:t>Payment may be made for in-home care when there are three or more children in a family who require child care services. The rate of payment for in-home care shall be the minimum wage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payment. </w:t>
      </w:r>
      <w:r>
        <w:rPr>
          <w:rFonts w:ascii="Times New Roman" w:hAnsi="Times New Roman"/>
          <w:b w:val="false"/>
          <w:i w:val="false"/>
          <w:color w:val="000000"/>
          <w:sz w:val="22"/>
        </w:rPr>
        <w:t>Payment shall not be made for therapeutic services that are provided in the care setting and include, but are not limited to, services such as speech, hearing, physical and other therapies, individual or group counseling, therapeutic recreation, and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Review of the calculation of the rate of payment. </w:t>
      </w:r>
      <w:r>
        <w:rPr>
          <w:rFonts w:ascii="Times New Roman" w:hAnsi="Times New Roman"/>
          <w:b w:val="false"/>
          <w:i w:val="false"/>
          <w:color w:val="000000"/>
          <w:sz w:val="22"/>
        </w:rPr>
        <w:t xml:space="preserve">Maximum rate ceilings are not appealable. A provider who is in disagreement with the calculation of the half-day rate as set forth in </w:t>
      </w:r>
      <w:hyperlink r:id="rId59">
        <w:r>
          <w:rPr>
            <w:rStyle w:val="Hyperlink"/>
            <w:rFonts w:ascii="Times New Roman" w:hAnsi="Times New Roman"/>
            <w:b w:val="false"/>
            <w:i w:val="false"/>
            <w:color w:val="000000"/>
            <w:sz w:val="22"/>
          </w:rPr>
          <w:t>170.4(7)</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request a review. The procedure for review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notification of the rate in question, the provider shall send a written request for review to the service area manager. The request shall identify the specific rate in question and the methodology used to calculate the rate. The service manager shall provide a written response within 15 calendar days of receipt of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dissatisfied with the response, the provider may, within 15 calendar days of the response, request a review by the bureau of child care services chief. The provider shall submit to the bureau chief the original request, the response received, and any additional information desired. The bureau chief shall render a decision in writing within 15 calendar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may appeal the decision to the director of the department or the director’s designee within 15 calendar days of the decision. The director or director’s designee shall issue the final department decision within 15 calendar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r>
        <w:rPr>
          <w:rFonts w:ascii="Times New Roman" w:hAnsi="Times New Roman"/>
          <w:b w:val="false"/>
          <w:i w:val="false"/>
          <w:color w:val="000000"/>
          <w:sz w:val="22"/>
        </w:rPr>
        <w:t xml:space="preserve">The department shall issue payment when the provider submits correctly completed documentation of attendance and charges. The department shall pay for no more than the number of units of service authorized in the notice of decision issued pursuant to subrule </w:t>
      </w:r>
      <w:hyperlink r:id="rId60">
        <w:r>
          <w:rPr>
            <w:rStyle w:val="Hyperlink"/>
            <w:rFonts w:ascii="Times New Roman" w:hAnsi="Times New Roman"/>
            <w:b w:val="false"/>
            <w:i w:val="false"/>
            <w:color w:val="000000"/>
            <w:sz w:val="22"/>
          </w:rPr>
          <w:t>170.3(3)</w:t>
        </w:r>
      </w:hyperlink>
      <w:r>
        <w:rPr>
          <w:rFonts w:ascii="Times New Roman" w:hAnsi="Times New Roman"/>
          <w:b w:val="false"/>
          <w:i w:val="false"/>
          <w:color w:val="000000"/>
          <w:sz w:val="22"/>
        </w:rPr>
        <w:t>. Providers shall submit a claim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Form 470-4534;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an electronic request for payment submitted through the KinderTrack system. Providers using this method shall print Form 470-4535 to be signed by the provider and the parent. The provider shall keep the signed Form 470-4535 for a period of five years after the billing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7837B</w:t>
      </w:r>
      <w:r>
        <w:rPr>
          <w:rFonts w:ascii="Times New Roman" w:hAnsi="Times New Roman"/>
          <w:b w:val="false"/>
          <w:i w:val="false"/>
          <w:color w:val="000000"/>
          <w:sz w:val="16"/>
        </w:rPr>
        <w:t>, IAB 6/3/09,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9490B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0152C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0546C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0715C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0825C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0854C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1446C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1978C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2556C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2649C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3791C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4115C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4470C</w:t>
      </w:r>
      <w:r>
        <w:rPr>
          <w:rFonts w:ascii="Times New Roman" w:hAnsi="Times New Roman"/>
          <w:b w:val="false"/>
          <w:i w:val="false"/>
          <w:color w:val="000000"/>
          <w:sz w:val="16"/>
        </w:rPr>
        <w:t>, IAB 6/5/19,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5035C</w:t>
      </w:r>
      <w:r>
        <w:rPr>
          <w:rFonts w:ascii="Times New Roman" w:hAnsi="Times New Roman"/>
          <w:b w:val="false"/>
          <w:i w:val="false"/>
          <w:color w:val="000000"/>
          <w:sz w:val="16"/>
        </w:rPr>
        <w:t>, IAB 5/6/20,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5675C</w:t>
      </w:r>
      <w:r>
        <w:rPr>
          <w:rFonts w:ascii="Times New Roman" w:hAnsi="Times New Roman"/>
          <w:b w:val="false"/>
          <w:i w:val="false"/>
          <w:color w:val="000000"/>
          <w:sz w:val="16"/>
        </w:rPr>
        <w:t>, IAB 6/16/21,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5731C</w:t>
      </w:r>
      <w:r>
        <w:rPr>
          <w:rFonts w:ascii="Times New Roman" w:hAnsi="Times New Roman"/>
          <w:b w:val="false"/>
          <w:i w:val="false"/>
          <w:color w:val="000000"/>
          <w:sz w:val="16"/>
        </w:rPr>
        <w:t>, IAB 6/30/21,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5891C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6309C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8741C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441—170.5</w:t>
      </w:r>
      <w:r>
        <w:rPr>
          <w:rFonts w:ascii="Times New Roman" w:hAnsi="Times New Roman"/>
          <w:b/>
          <w:i w:val="false"/>
          <w:color w:val="000000"/>
          <w:sz w:val="22"/>
        </w:rPr>
        <w:t xml:space="preserve">(237A) </w:t>
      </w:r>
      <w:r>
        <w:rPr>
          <w:rFonts w:ascii="Times New Roman" w:hAnsi="Times New Roman"/>
          <w:b/>
          <w:i w:val="false"/>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170.5(1)</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The department may refuse to enter into or may revoke Form 470-3871 or 470-3871(S)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finds a hazard to the safety and well-being of a child, and the provider cannot or refuses to correct the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submitted claims for payment for which the provider is not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fails to cooperate with an investigation conducted by the department of inspections and appeals to determine whether information the provider supplied to the department regarding payment for child care services is complete and correct. Once the agreement is revoked for failure to cooperate, the department shall not enter into a new agreement with the provider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does not meet one of the applicable requirements set forth in subrule </w:t>
      </w:r>
      <w:hyperlink r:id="rId61">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fails to comply with any of the terms and conditions of Form 470-3871 or 470-3871(S).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provider submits attendance documentation for payment and the provider knows or should have known that the documentation is false or inaccurate.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overpayment of CCA funds with a balance of $3,000 or more exists for a provider and that provider fails to enter into a repayment agreement with the department of inspections and appeals (DIA) or does not make payments according to the repayment agreement on file with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is found to have more children in care at one time than allowed for the provider type as found at rule </w:t>
      </w:r>
      <w:hyperlink r:id="rId62">
        <w:r>
          <w:rPr>
            <w:rStyle w:val="Hyperlink"/>
            <w:rFonts w:ascii="Times New Roman" w:hAnsi="Times New Roman"/>
            <w:b w:val="false"/>
            <w:i w:val="false"/>
            <w:color w:val="000000"/>
            <w:sz w:val="22"/>
          </w:rPr>
          <w:t>441—110.6</w:t>
        </w:r>
      </w:hyperlink>
      <w:r>
        <w:rPr>
          <w:rFonts w:ascii="Times New Roman" w:hAnsi="Times New Roman"/>
          <w:b w:val="false"/>
          <w:i w:val="false"/>
          <w:color w:val="000000"/>
          <w:sz w:val="22"/>
        </w:rPr>
        <w:t xml:space="preserve">(237A) and 441—subrules </w:t>
      </w:r>
      <w:hyperlink r:id="rId63">
        <w:r>
          <w:rPr>
            <w:rStyle w:val="Hyperlink"/>
            <w:rFonts w:ascii="Times New Roman" w:hAnsi="Times New Roman"/>
            <w:b w:val="false"/>
            <w:i w:val="false"/>
            <w:color w:val="000000"/>
            <w:sz w:val="22"/>
          </w:rPr>
          <w:t>110.13(1)</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110.14(1)</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110.15(1)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120.6(1)</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Child care assistance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financially eligible;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another resource available to provide the service or a similar service free of charge that allows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is required and the client or representative refuses or fails to sign the application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fails to cooperate with a quality control review or with an investigation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Child care assistance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no longer meets the eligibility criteria in subrule </w:t>
      </w:r>
      <w:hyperlink r:id="rId68">
        <w:r>
          <w:rPr>
            <w:rStyle w:val="Hyperlink"/>
            <w:rFonts w:ascii="Times New Roman" w:hAnsi="Times New Roman"/>
            <w:b w:val="false"/>
            <w:i w:val="false"/>
            <w:color w:val="000000"/>
            <w:sz w:val="22"/>
          </w:rPr>
          <w:t>170.2(2)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client’s income exceeds the financial guidelines;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payment or only partial payment of client fees has been received within 30 days following the issuance of the last billing;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Another resource is available to provide the service or a similar service free of charge that allows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fails to cooperate with a quality control review or with an investigation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170.5(4)</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Authorized units of service may be reduced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the current level is not necessary to meet the client’s service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resource is available to provide the same or similar service free of charge that will meet the client’s needs and allow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When funding is not available, the department may limit on a statewide basis the number of units of child care services for which payment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170.5(5)</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sanction. </w:t>
      </w:r>
      <w:r>
        <w:rPr>
          <w:rFonts w:ascii="Times New Roman" w:hAnsi="Times New Roman"/>
          <w:b w:val="false"/>
          <w:i w:val="false"/>
          <w:color w:val="000000"/>
          <w:sz w:val="22"/>
        </w:rPr>
        <w:t xml:space="preserve">If Form 470-3871 or 470-3871(S) is terminated for any of the reasons in subrule </w:t>
      </w:r>
      <w:hyperlink r:id="rId69">
        <w:r>
          <w:rPr>
            <w:rStyle w:val="Hyperlink"/>
            <w:rFonts w:ascii="Times New Roman" w:hAnsi="Times New Roman"/>
            <w:b w:val="false"/>
            <w:i w:val="false"/>
            <w:color w:val="000000"/>
            <w:sz w:val="22"/>
          </w:rPr>
          <w:t>170.5(1)</w:t>
        </w:r>
      </w:hyperlink>
      <w:r>
        <w:rPr>
          <w:rFonts w:ascii="Times New Roman" w:hAnsi="Times New Roman"/>
          <w:b w:val="false"/>
          <w:i w:val="false"/>
          <w:color w:val="000000"/>
          <w:sz w:val="22"/>
        </w:rPr>
        <w:t>, the agreement shall remain terminated for the time periods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time the agreement is terminated, the provider may reapply for another agreement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second time the agreement is terminated, the provider may not reapply for another agreement for 12 months from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third or subsequent time the agreement is terminated, the provider may not reapply for another agreement for 36 months from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act on an application for a child care assistance provider agreement submitted by a provider during the sanction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1893C</w:t>
      </w:r>
      <w:r>
        <w:rPr>
          <w:rFonts w:ascii="Times New Roman" w:hAnsi="Times New Roman"/>
          <w:b w:val="false"/>
          <w:i w:val="false"/>
          <w:color w:val="000000"/>
          <w:sz w:val="16"/>
        </w:rPr>
        <w:t>, IAB 3/4/15,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441—170.6</w:t>
      </w:r>
      <w:r>
        <w:rPr>
          <w:rFonts w:ascii="Times New Roman" w:hAnsi="Times New Roman"/>
          <w:b/>
          <w:i w:val="false"/>
          <w:color w:val="000000"/>
          <w:sz w:val="22"/>
        </w:rPr>
        <w:t xml:space="preserve">(237A)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Notice of adverse action shall be given in accordance with </w:t>
      </w:r>
      <w:hyperlink r:id="rId7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shall be given in accordance with </w:t>
      </w:r>
      <w:hyperlink r:id="rId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441—170.7</w:t>
      </w:r>
      <w:r>
        <w:rPr>
          <w:rFonts w:ascii="Times New Roman" w:hAnsi="Times New Roman"/>
          <w:b/>
          <w:i w:val="false"/>
          <w:color w:val="000000"/>
          <w:sz w:val="22"/>
        </w:rPr>
        <w:t xml:space="preserve">(237A) </w:t>
      </w:r>
      <w:r>
        <w:rPr>
          <w:rFonts w:ascii="Times New Roman" w:hAnsi="Times New Roman"/>
          <w:b/>
          <w:i w:val="false"/>
          <w:color w:val="000000"/>
          <w:sz w:val="22"/>
        </w:rPr>
        <w:t xml:space="preserve">Provider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170.7(1)</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The department shall consider a child care provider to have committed fraud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in an administrative or judicial proceeding, has found the provider to have obtained by fraudulent means child care assistance payment in an amount in excess of $1,000;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agreed to entry of a civil judgment or judgment by confession that includes a conclusion of law that the provider has obtained by fraudulent means child care assistance payment in an amount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170.7(2)</w:t>
      </w:r>
      <w:r>
        <w:rPr>
          <w:rFonts w:ascii="Times New Roman" w:hAnsi="Times New Roman"/>
          <w:b w:val="false"/>
          <w:i w:val="false"/>
          <w:color w:val="000000"/>
          <w:sz w:val="22"/>
        </w:rPr>
        <w:t> </w:t>
      </w:r>
      <w:r>
        <w:rPr>
          <w:rFonts w:ascii="Times New Roman" w:hAnsi="Times New Roman"/>
          <w:b w:val="false"/>
          <w:i/>
          <w:color w:val="000000"/>
          <w:sz w:val="22"/>
        </w:rPr>
        <w:t xml:space="preserve">Potential sanctions. </w:t>
      </w:r>
      <w:r>
        <w:rPr>
          <w:rFonts w:ascii="Times New Roman" w:hAnsi="Times New Roman"/>
          <w:b w:val="false"/>
          <w:i w:val="false"/>
          <w:color w:val="000000"/>
          <w:sz w:val="22"/>
        </w:rPr>
        <w:t>Providers found to have committed fraud shall be subject to one or more of the following sanctions,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review of the provider’s claims for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from receipt of child care assistance payment for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170.7(3)</w:t>
      </w:r>
      <w:r>
        <w:rPr>
          <w:rFonts w:ascii="Times New Roman" w:hAnsi="Times New Roman"/>
          <w:b w:val="false"/>
          <w:i w:val="false"/>
          <w:color w:val="000000"/>
          <w:sz w:val="22"/>
        </w:rPr>
        <w:t> </w:t>
      </w:r>
      <w:r>
        <w:rPr>
          <w:rFonts w:ascii="Times New Roman" w:hAnsi="Times New Roman"/>
          <w:b w:val="false"/>
          <w:i/>
          <w:color w:val="000000"/>
          <w:sz w:val="22"/>
        </w:rPr>
        <w:t xml:space="preserve">Factors considered in determining level of sanction. </w:t>
      </w:r>
      <w:r>
        <w:rPr>
          <w:rFonts w:ascii="Times New Roman" w:hAnsi="Times New Roman"/>
          <w:b w:val="false"/>
          <w:i w:val="false"/>
          <w:color w:val="000000"/>
          <w:sz w:val="22"/>
        </w:rPr>
        <w:t>The department shall evaluate the following factors in determining the sanction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History of prior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provider has no prior violations, the sanction imposed shall be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provider has one prior violation, the sanction imposed shall be a suspension from receipt of child care assistance payment for six months as well as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provider has more than one prior violation,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Prior imposition of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provider has not been sanctioned before, the sanction imposed shall be a special review of the provider’s claims for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provider has been sanctioned once before, the sanction imposed shall be a suspension from receipt of child care assistance payment for six months as well as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provider has been sanctioned more than once before,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Seriousness of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less than $5,000, the sanction level shall be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$5,000 or more,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review of provider claims, the sanction imposed shall be suspension from receipt of child care assistance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$5,000 or more,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suspension from receipt of child care assistance payment,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Extent of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five invoices or less or five months or less, the sanction level shall be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at least six invoices or six months,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review of provider claims, the sanction imposed shall be suspension from receipt of child care assistance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at least six invoices or six months,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suspension from receipt of child care assistance payment,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170.7(4)</w:t>
      </w:r>
      <w:r>
        <w:rPr>
          <w:rFonts w:ascii="Times New Roman" w:hAnsi="Times New Roman"/>
          <w:b w:val="false"/>
          <w:i w:val="false"/>
          <w:color w:val="000000"/>
          <w:sz w:val="22"/>
        </w:rPr>
        <w:t> </w:t>
      </w:r>
      <w:r>
        <w:rPr>
          <w:rFonts w:ascii="Times New Roman" w:hAnsi="Times New Roman"/>
          <w:b w:val="false"/>
          <w:i/>
          <w:color w:val="000000"/>
          <w:sz w:val="22"/>
        </w:rPr>
        <w:t xml:space="preserve">Mitigating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2">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suspension from or ineligibility for receipt of child care assistance payment, the department shall determine whether it is appropriate to reduce the level of a sanction for the particular case, considering: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3">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ineligibility for receipt of child care assistance payment, but consideration of the two factors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indicates that a lesser sanction will resolve the violation, the sanction imposed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from receipt of child care assistance payment for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4">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suspension from receipt of child care assistance payment, but consideration of the two factors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indicates that a lesser sanction will resolve the violation, the sanction imposed shall be a special review of provider claims.</w:t>
      </w:r>
    </w:p>
    <w:p>
      <w:pPr>
        <w:spacing w:before="210" w:after="0"/>
        <w:ind w:left="120"/>
        <w:jc w:val="both"/>
      </w:pPr>
      <w:r>
        <w:rPr>
          <w:rFonts w:ascii="Times New Roman" w:hAnsi="Times New Roman"/>
          <w:b/>
          <w:i w:val="false"/>
          <w:color w:val="000000"/>
          <w:sz w:val="22"/>
        </w:rPr>
        <w:t>441—170.8</w:t>
      </w:r>
      <w:r>
        <w:rPr>
          <w:rFonts w:ascii="Times New Roman" w:hAnsi="Times New Roman"/>
          <w:b/>
          <w:i w:val="false"/>
          <w:color w:val="000000"/>
          <w:sz w:val="22"/>
        </w:rPr>
        <w:t xml:space="preserve">(234)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4/1/02.</w:t>
      </w:r>
    </w:p>
    <w:p>
      <w:pPr>
        <w:spacing w:before="0" w:after="0"/>
        <w:ind w:left="120"/>
        <w:jc w:val="both"/>
      </w:pPr>
      <w:r>
        <w:rPr>
          <w:rFonts w:ascii="Times New Roman" w:hAnsi="Times New Roman"/>
          <w:b/>
          <w:i w:val="false"/>
          <w:color w:val="000000"/>
          <w:sz w:val="22"/>
        </w:rPr>
        <w:t>441—170.9</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care assistance overpayments. </w:t>
      </w:r>
      <w:r>
        <w:rPr>
          <w:rFonts w:ascii="Times New Roman" w:hAnsi="Times New Roman"/>
          <w:b w:val="false"/>
          <w:i w:val="false"/>
          <w:color w:val="000000"/>
          <w:sz w:val="22"/>
        </w:rPr>
        <w:t>All child care assistance overpayments shall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170.9(1)</w:t>
      </w:r>
      <w:r>
        <w:rPr>
          <w:rFonts w:ascii="Times New Roman" w:hAnsi="Times New Roman"/>
          <w:b w:val="false"/>
          <w:i w:val="false"/>
          <w:color w:val="000000"/>
          <w:sz w:val="22"/>
        </w:rPr>
        <w:t> </w:t>
      </w:r>
      <w:r>
        <w:rPr>
          <w:rFonts w:ascii="Times New Roman" w:hAnsi="Times New Roman"/>
          <w:b w:val="false"/>
          <w:i/>
          <w:color w:val="000000"/>
          <w:sz w:val="22"/>
        </w:rPr>
        <w:t xml:space="preserve">Notification and appeals. </w:t>
      </w:r>
      <w:r>
        <w:rPr>
          <w:rFonts w:ascii="Times New Roman" w:hAnsi="Times New Roman"/>
          <w:b w:val="false"/>
          <w:i w:val="false"/>
          <w:color w:val="000000"/>
          <w:sz w:val="22"/>
        </w:rPr>
        <w:t xml:space="preserve">All clients or providers shall be notified as described at subrule </w:t>
      </w:r>
      <w:hyperlink r:id="rId75">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when it is determined that an overpayment exists. Notification shall include the amount, date and reason for the overpayment. The department shall provide additional information regarding the computation of the overpayment upon the client’s or provider’s request. The client or provider may appeal the computation of the overpayment and any action to recover the overpayment in accordance with </w:t>
      </w:r>
      <w:hyperlink r:id="rId7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overpayments. </w:t>
      </w:r>
      <w:r>
        <w:rPr>
          <w:rFonts w:ascii="Times New Roman" w:hAnsi="Times New Roman"/>
          <w:b w:val="false"/>
          <w:i w:val="false"/>
          <w:color w:val="000000"/>
          <w:sz w:val="22"/>
        </w:rPr>
        <w:t>All overpayments due to client, provider, or agency error or due to benefits or payments issued pending an appeal decision shall be recouped. Overpayments shall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170.9(3)</w:t>
      </w:r>
      <w:r>
        <w:rPr>
          <w:rFonts w:ascii="Times New Roman" w:hAnsi="Times New Roman"/>
          <w:b w:val="false"/>
          <w:i w:val="false"/>
          <w:color w:val="000000"/>
          <w:sz w:val="22"/>
        </w:rPr>
        <w:t> </w:t>
      </w:r>
      <w:r>
        <w:rPr>
          <w:rFonts w:ascii="Times New Roman" w:hAnsi="Times New Roman"/>
          <w:b w:val="false"/>
          <w:i/>
          <w:color w:val="000000"/>
          <w:sz w:val="22"/>
        </w:rPr>
        <w:t xml:space="preserve">Benefits or payments issued pending appeal decision. </w:t>
      </w:r>
      <w:r>
        <w:rPr>
          <w:rFonts w:ascii="Times New Roman" w:hAnsi="Times New Roman"/>
          <w:b w:val="false"/>
          <w:i w:val="false"/>
          <w:color w:val="000000"/>
          <w:sz w:val="22"/>
        </w:rPr>
        <w:t>Recoupment of overpayments resulting from benefits or payments issued pending a decision on an appeal hearing shall not occur until after a final appeal decision is issued affirming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by the client to cooperate in the investigation of alleged overpayments shall result in ineligibility for the months in question and the overpayment shall be the total amount of assistance received during those months. Failure by the provider to cooperate in the investigation of alleged overpayments shall result in payments being recouped for the months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170.9(5)</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 xml:space="preserve">The client or provider may choose to make a lump-sum payment or make periodic installment payments as agreed to on the notification form issued pursuant to subrule </w:t>
      </w:r>
      <w:hyperlink r:id="rId77">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Failure to negotiate an approved payment agreement may result in further collection action as outlined in </w:t>
      </w:r>
      <w:hyperlink r:id="rId78">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an overpayment exists, the department shall refer the case to the department of inspections and appeals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initiate recoupment by notifying the debtor of the overpayment on Form 470-4530.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financial circumstances change, the department of inspections and appeals has the authority to revise the recoupment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client error or due to an agency error that affected eligibility shall be made from the parent who received child care assistance at the time the overpayment occurred. When two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provider error or due to an agency error that affected benefits shall be made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caused by both the provider and client shall be collected from both the provider and client equally, 50 percent from the client and 50 percent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170.9(7)</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amount of the overpayment is less than $35. Recoupment will be waived on nonfraud overpayments of less than $35 which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1893C</w:t>
      </w:r>
      <w:r>
        <w:rPr>
          <w:rFonts w:ascii="Times New Roman" w:hAnsi="Times New Roman"/>
          <w:b w:val="false"/>
          <w:i w:val="false"/>
          <w:color w:val="000000"/>
          <w:sz w:val="16"/>
        </w:rPr>
        <w:t>, IAB 3/4/15,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9">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237A.29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7/3/79, Notice 12/27/78—published 7/25/79, effective 9/1/79]</w:t>
      </w:r>
    </w:p>
    <w:p>
      <w:pPr>
        <w:spacing w:before="0" w:after="0"/>
        <w:ind w:left="120"/>
        <w:jc w:val="center"/>
      </w:pPr>
      <w:r>
        <w:rPr>
          <w:rFonts w:ascii="Times New Roman" w:hAnsi="Times New Roman"/>
          <w:b w:val="false"/>
          <w:i w:val="false"/>
          <w:color w:val="000000"/>
          <w:sz w:val="21"/>
        </w:rPr>
        <w:t>[Filed 7/18/80, Notice 3/5/80—published 8/6/80, effective 9/10/80]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1/16/81, Notice 12/10/80—published 2/4/81, effective 4/1/81]</w:t>
      </w:r>
    </w:p>
    <w:p>
      <w:pPr>
        <w:spacing w:before="0" w:after="0"/>
        <w:ind w:left="120"/>
        <w:jc w:val="center"/>
      </w:pPr>
      <w:r>
        <w:rPr>
          <w:rFonts w:ascii="Times New Roman" w:hAnsi="Times New Roman"/>
          <w:b w:val="false"/>
          <w:i w:val="false"/>
          <w:color w:val="000000"/>
          <w:sz w:val="21"/>
        </w:rPr>
        <w:t>[Filed 4/29/82, Notice 3/3/82—published 5/26/82, effective 7/1/82]</w:t>
      </w:r>
    </w:p>
    <w:p>
      <w:pPr>
        <w:spacing w:before="0" w:after="0"/>
        <w:ind w:left="120"/>
        <w:jc w:val="center"/>
      </w:pPr>
      <w:r>
        <w:rPr>
          <w:rFonts w:ascii="Times New Roman" w:hAnsi="Times New Roman"/>
          <w:b w:val="false"/>
          <w:i w:val="false"/>
          <w:color w:val="000000"/>
          <w:sz w:val="21"/>
        </w:rPr>
        <w:t>[Filed 5/21/82, Notice 3/31/82—published 6/9/82, effective 8/1/82]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9/21/88, Notice 8/10/88—published 10/19/88, effective 12/1/88]</w:t>
      </w:r>
    </w:p>
    <w:p>
      <w:pPr>
        <w:spacing w:before="0" w:after="0"/>
        <w:ind w:left="120"/>
        <w:jc w:val="center"/>
      </w:pPr>
      <w:r>
        <w:rPr>
          <w:rFonts w:ascii="Times New Roman" w:hAnsi="Times New Roman"/>
          <w:b w:val="false"/>
          <w:i w:val="false"/>
          <w:color w:val="000000"/>
          <w:sz w:val="21"/>
        </w:rPr>
        <w:t>[Filed emergency 6/8/89 after Notice of 5/3/89—published 6/28/89, effective 7/1/89]</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10/14/93—published 11/10/93, effective 12/1/93]</w:t>
      </w:r>
    </w:p>
    <w:p>
      <w:pPr>
        <w:spacing w:before="0" w:after="0"/>
        <w:ind w:left="120"/>
        <w:jc w:val="center"/>
      </w:pPr>
      <w:r>
        <w:rPr>
          <w:rFonts w:ascii="Times New Roman" w:hAnsi="Times New Roman"/>
          <w:b w:val="false"/>
          <w:i w:val="false"/>
          <w:color w:val="000000"/>
          <w:sz w:val="21"/>
        </w:rPr>
        <w:t>[Filed 12/16/93, Notice 11/10/93—published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7/10/96—published 7/31/96, effective 8/1/96]</w:t>
      </w:r>
    </w:p>
    <w:p>
      <w:pPr>
        <w:spacing w:before="0" w:after="0"/>
        <w:ind w:left="120"/>
        <w:jc w:val="center"/>
      </w:pPr>
      <w:r>
        <w:rPr>
          <w:rFonts w:ascii="Times New Roman" w:hAnsi="Times New Roman"/>
          <w:b w:val="false"/>
          <w:i w:val="false"/>
          <w:color w:val="000000"/>
          <w:sz w:val="21"/>
        </w:rPr>
        <w:t>[Filed 9/17/96, Notices 7/3/96, 7/31/96—published 10/9/96, effective 12/1/96]</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12/16/03, Notice 10/29/03—published 1/7/04, effective 3/1/04]</w:t>
      </w:r>
    </w:p>
    <w:p>
      <w:pPr>
        <w:spacing w:before="0" w:after="0"/>
        <w:ind w:left="120"/>
        <w:jc w:val="center"/>
      </w:pPr>
      <w:r>
        <w:rPr>
          <w:rFonts w:ascii="Times New Roman" w:hAnsi="Times New Roman"/>
          <w:b w:val="false"/>
          <w:i w:val="false"/>
          <w:color w:val="000000"/>
          <w:sz w:val="21"/>
        </w:rPr>
        <w:t>[Filed emergency 5/14/04—published 6/9/04, effective 7/1/04]</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emergency 7/15/05—published 8/3/05, effective 9/1/05]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5/12/06—published 6/7/06, effective 7/1/06]</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4/11/07, Notice 2/14/07—published 5/9/07, effective 7/1/07]</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6/13/07, Notice 4/11/07—published 7/4/07, effective 9/1/07]</w:t>
      </w:r>
    </w:p>
    <w:p>
      <w:pPr>
        <w:spacing w:before="0" w:after="0"/>
        <w:ind w:left="120"/>
        <w:jc w:val="center"/>
      </w:pPr>
      <w:r>
        <w:rPr>
          <w:rFonts w:ascii="Times New Roman" w:hAnsi="Times New Roman"/>
          <w:b w:val="false"/>
          <w:i w:val="false"/>
          <w:color w:val="000000"/>
          <w:sz w:val="21"/>
        </w:rPr>
        <w:t>[Filed emergency 9/12/07—published 10/10/07, effective 9/12/07]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Emergency ARC 7837B, IAB 6/3/09, effective 7/1/09]</w:t>
      </w:r>
    </w:p>
    <w:p>
      <w:pPr>
        <w:spacing w:before="0" w:after="0"/>
        <w:ind w:left="120"/>
        <w:jc w:val="center"/>
      </w:pPr>
      <w:r>
        <w:rPr>
          <w:rFonts w:ascii="Times New Roman" w:hAnsi="Times New Roman"/>
          <w:b w:val="false"/>
          <w:i w:val="false"/>
          <w:color w:val="000000"/>
          <w:sz w:val="21"/>
        </w:rPr>
        <w:t>[Filed Emergency After Notice ARC 8506B</w:t>
      </w:r>
      <w:r>
        <w:rPr>
          <w:rFonts w:ascii="Times New Roman" w:hAnsi="Times New Roman"/>
          <w:b w:val="false"/>
          <w:i w:val="false"/>
          <w:color w:val="000000"/>
          <w:sz w:val="21"/>
        </w:rPr>
        <w:t xml:space="preserve"> (Notice ARC 8274B,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Without Notice ARC 9490B, IAB 5/4/11, effective 7/1/11]</w:t>
      </w:r>
    </w:p>
    <w:p>
      <w:pPr>
        <w:spacing w:before="0" w:after="0"/>
        <w:ind w:left="120"/>
        <w:jc w:val="center"/>
      </w:pPr>
      <w:r>
        <w:rPr>
          <w:rFonts w:ascii="Times New Roman" w:hAnsi="Times New Roman"/>
          <w:b w:val="false"/>
          <w:i w:val="false"/>
          <w:color w:val="000000"/>
          <w:sz w:val="21"/>
        </w:rPr>
        <w:t>[Filed ARC 9651B</w:t>
      </w:r>
      <w:r>
        <w:rPr>
          <w:rFonts w:ascii="Times New Roman" w:hAnsi="Times New Roman"/>
          <w:b w:val="false"/>
          <w:i w:val="false"/>
          <w:color w:val="000000"/>
          <w:sz w:val="21"/>
        </w:rPr>
        <w:t xml:space="preserve"> (Notice ARC 9518B, IAB 5/18/11)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Without Notice ARC 0152C, IAB 6/13/12, effective 7/18/12]</w:t>
      </w:r>
    </w:p>
    <w:p>
      <w:pPr>
        <w:spacing w:before="0" w:after="0"/>
        <w:ind w:left="120"/>
        <w:jc w:val="center"/>
      </w:pPr>
      <w:r>
        <w:rPr>
          <w:rFonts w:ascii="Times New Roman" w:hAnsi="Times New Roman"/>
          <w:b w:val="false"/>
          <w:i w:val="false"/>
          <w:color w:val="000000"/>
          <w:sz w:val="21"/>
        </w:rPr>
        <w:t>[Filed Emergency After Notice ARC 0546C</w:t>
      </w:r>
      <w:r>
        <w:rPr>
          <w:rFonts w:ascii="Times New Roman" w:hAnsi="Times New Roman"/>
          <w:b w:val="false"/>
          <w:i w:val="false"/>
          <w:color w:val="000000"/>
          <w:sz w:val="21"/>
        </w:rPr>
        <w:t xml:space="preserve"> (Notice ARC 0368C, IAB 10/3/12)</w:t>
      </w:r>
      <w:r>
        <w:rPr>
          <w:rFonts w:ascii="Times New Roman" w:hAnsi="Times New Roman"/>
          <w:b w:val="false"/>
          <w:i w:val="false"/>
          <w:color w:val="000000"/>
          <w:sz w:val="21"/>
        </w:rPr>
        <w:t>, IAB 1/9/13, effective 1/1/13]</w:t>
      </w:r>
    </w:p>
    <w:p>
      <w:pPr>
        <w:spacing w:before="0" w:after="0"/>
        <w:ind w:left="120"/>
        <w:jc w:val="center"/>
      </w:pPr>
      <w:r>
        <w:rPr>
          <w:rFonts w:ascii="Times New Roman" w:hAnsi="Times New Roman"/>
          <w:b w:val="false"/>
          <w:i w:val="false"/>
          <w:color w:val="000000"/>
          <w:sz w:val="21"/>
        </w:rPr>
        <w:t>[Filed ARC 0715C</w:t>
      </w:r>
      <w:r>
        <w:rPr>
          <w:rFonts w:ascii="Times New Roman" w:hAnsi="Times New Roman"/>
          <w:b w:val="false"/>
          <w:i w:val="false"/>
          <w:color w:val="000000"/>
          <w:sz w:val="21"/>
        </w:rPr>
        <w:t xml:space="preserve"> (Notice ARC 0566C, IAB 1/23/13)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Emergency After Notice ARC 0825C</w:t>
      </w:r>
      <w:r>
        <w:rPr>
          <w:rFonts w:ascii="Times New Roman" w:hAnsi="Times New Roman"/>
          <w:b w:val="false"/>
          <w:i w:val="false"/>
          <w:color w:val="000000"/>
          <w:sz w:val="21"/>
        </w:rPr>
        <w:t xml:space="preserve"> (Notice ARC 0670C, IAB 4/3/13)</w:t>
      </w:r>
      <w:r>
        <w:rPr>
          <w:rFonts w:ascii="Times New Roman" w:hAnsi="Times New Roman"/>
          <w:b w:val="false"/>
          <w:i w:val="false"/>
          <w:color w:val="000000"/>
          <w:sz w:val="21"/>
        </w:rPr>
        <w:t>, IAB 7/10/13, effective 7/1/13]</w:t>
      </w:r>
    </w:p>
    <w:p>
      <w:pPr>
        <w:spacing w:before="0" w:after="0"/>
        <w:ind w:left="120"/>
        <w:jc w:val="center"/>
      </w:pPr>
      <w:r>
        <w:rPr>
          <w:rFonts w:ascii="Times New Roman" w:hAnsi="Times New Roman"/>
          <w:b w:val="false"/>
          <w:i w:val="false"/>
          <w:color w:val="000000"/>
          <w:sz w:val="21"/>
        </w:rPr>
        <w:t>[Filed Emergency ARC 0854C, IAB 7/24/13, effective 7/1/13]</w:t>
      </w:r>
    </w:p>
    <w:p>
      <w:pPr>
        <w:spacing w:before="0" w:after="0"/>
        <w:ind w:left="120"/>
        <w:jc w:val="center"/>
      </w:pPr>
      <w:r>
        <w:rPr>
          <w:rFonts w:ascii="Times New Roman" w:hAnsi="Times New Roman"/>
          <w:b w:val="false"/>
          <w:i w:val="false"/>
          <w:color w:val="000000"/>
          <w:sz w:val="21"/>
        </w:rPr>
        <w:t>[Filed ARC 1063C</w:t>
      </w:r>
      <w:r>
        <w:rPr>
          <w:rFonts w:ascii="Times New Roman" w:hAnsi="Times New Roman"/>
          <w:b w:val="false"/>
          <w:i w:val="false"/>
          <w:color w:val="000000"/>
          <w:sz w:val="21"/>
        </w:rPr>
        <w:t xml:space="preserve"> (Notice ARC 0852C,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1446C</w:t>
      </w:r>
      <w:r>
        <w:rPr>
          <w:rFonts w:ascii="Times New Roman" w:hAnsi="Times New Roman"/>
          <w:b w:val="false"/>
          <w:i w:val="false"/>
          <w:color w:val="000000"/>
          <w:sz w:val="21"/>
        </w:rPr>
        <w:t xml:space="preserve"> (Notice ARC 1365C,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ARC 1525C, IAB 7/9/14, effective 7/1/14]</w:t>
      </w:r>
    </w:p>
    <w:p>
      <w:pPr>
        <w:spacing w:before="0" w:after="0"/>
        <w:ind w:left="120"/>
        <w:jc w:val="center"/>
      </w:pPr>
      <w:r>
        <w:rPr>
          <w:rFonts w:ascii="Times New Roman" w:hAnsi="Times New Roman"/>
          <w:b w:val="false"/>
          <w:i w:val="false"/>
          <w:color w:val="000000"/>
          <w:sz w:val="21"/>
        </w:rPr>
        <w:t>[Filed ARC 1606C</w:t>
      </w:r>
      <w:r>
        <w:rPr>
          <w:rFonts w:ascii="Times New Roman" w:hAnsi="Times New Roman"/>
          <w:b w:val="false"/>
          <w:i w:val="false"/>
          <w:color w:val="000000"/>
          <w:sz w:val="21"/>
        </w:rPr>
        <w:t xml:space="preserve"> (Notice ARC 1524C,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1893C</w:t>
      </w:r>
      <w:r>
        <w:rPr>
          <w:rFonts w:ascii="Times New Roman" w:hAnsi="Times New Roman"/>
          <w:b w:val="false"/>
          <w:i w:val="false"/>
          <w:color w:val="000000"/>
          <w:sz w:val="21"/>
        </w:rPr>
        <w:t xml:space="preserve"> (Notice ARC 1819C, IAB 1/7/15)</w:t>
      </w:r>
      <w:r>
        <w:rPr>
          <w:rFonts w:ascii="Times New Roman" w:hAnsi="Times New Roman"/>
          <w:b w:val="false"/>
          <w:i w:val="false"/>
          <w:color w:val="000000"/>
          <w:sz w:val="21"/>
        </w:rPr>
        <w:t>, IAB 3/4/15, effective 7/1/15]</w:t>
      </w:r>
    </w:p>
    <w:p>
      <w:pPr>
        <w:spacing w:before="0" w:after="0"/>
        <w:ind w:left="120"/>
        <w:jc w:val="center"/>
      </w:pPr>
      <w:r>
        <w:rPr>
          <w:rFonts w:ascii="Times New Roman" w:hAnsi="Times New Roman"/>
          <w:b w:val="false"/>
          <w:i w:val="false"/>
          <w:color w:val="000000"/>
          <w:sz w:val="21"/>
        </w:rPr>
        <w:t>[Filed ARC 1978C</w:t>
      </w:r>
      <w:r>
        <w:rPr>
          <w:rFonts w:ascii="Times New Roman" w:hAnsi="Times New Roman"/>
          <w:b w:val="false"/>
          <w:i w:val="false"/>
          <w:color w:val="000000"/>
          <w:sz w:val="21"/>
        </w:rPr>
        <w:t xml:space="preserve"> (Notice ARC 1900C,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Emergency After Notice ARC 2555C</w:t>
      </w:r>
      <w:r>
        <w:rPr>
          <w:rFonts w:ascii="Times New Roman" w:hAnsi="Times New Roman"/>
          <w:b w:val="false"/>
          <w:i w:val="false"/>
          <w:color w:val="000000"/>
          <w:sz w:val="21"/>
        </w:rPr>
        <w:t xml:space="preserve"> (Notice ARC 2462C, IAB 3/16/16)</w:t>
      </w:r>
      <w:r>
        <w:rPr>
          <w:rFonts w:ascii="Times New Roman" w:hAnsi="Times New Roman"/>
          <w:b w:val="false"/>
          <w:i w:val="false"/>
          <w:color w:val="000000"/>
          <w:sz w:val="21"/>
        </w:rPr>
        <w:t>, IAB 6/8/16, effective 7/1/16]</w:t>
      </w:r>
      <w:r>
        <w:br/>
      </w:r>
      <w:r>
        <w:rPr>
          <w:rFonts w:ascii="Times New Roman" w:hAnsi="Times New Roman"/>
          <w:b w:val="false"/>
          <w:i w:val="false"/>
          <w:color w:val="000000"/>
          <w:sz w:val="21"/>
        </w:rPr>
        <w:t>[Filed Emergency After Notice ARC 2556C</w:t>
      </w:r>
      <w:r>
        <w:rPr>
          <w:rFonts w:ascii="Times New Roman" w:hAnsi="Times New Roman"/>
          <w:b w:val="false"/>
          <w:i w:val="false"/>
          <w:color w:val="000000"/>
          <w:sz w:val="21"/>
        </w:rPr>
        <w:t xml:space="preserve"> (Notice ARC 2449C, IAB 3/16/16)</w:t>
      </w:r>
      <w:r>
        <w:rPr>
          <w:rFonts w:ascii="Times New Roman" w:hAnsi="Times New Roman"/>
          <w:b w:val="false"/>
          <w:i w:val="false"/>
          <w:color w:val="000000"/>
          <w:sz w:val="21"/>
        </w:rPr>
        <w:t>, IAB 6/8/16, effective 7/1/16]</w:t>
      </w:r>
    </w:p>
    <w:p>
      <w:pPr>
        <w:spacing w:before="0" w:after="0"/>
        <w:ind w:left="120"/>
        <w:jc w:val="center"/>
      </w:pPr>
      <w:r>
        <w:rPr>
          <w:rFonts w:ascii="Times New Roman" w:hAnsi="Times New Roman"/>
          <w:b w:val="false"/>
          <w:i w:val="false"/>
          <w:color w:val="000000"/>
          <w:sz w:val="21"/>
        </w:rPr>
        <w:t>[Filed ARC 2649C</w:t>
      </w:r>
      <w:r>
        <w:rPr>
          <w:rFonts w:ascii="Times New Roman" w:hAnsi="Times New Roman"/>
          <w:b w:val="false"/>
          <w:i w:val="false"/>
          <w:color w:val="000000"/>
          <w:sz w:val="21"/>
        </w:rPr>
        <w:t xml:space="preserve"> (Notice ARC 2551C,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Emergency After Notice ARC 3092C</w:t>
      </w:r>
      <w:r>
        <w:rPr>
          <w:rFonts w:ascii="Times New Roman" w:hAnsi="Times New Roman"/>
          <w:b w:val="false"/>
          <w:i w:val="false"/>
          <w:color w:val="000000"/>
          <w:sz w:val="21"/>
        </w:rPr>
        <w:t xml:space="preserve"> (Notice ARC 2973C, IAB 3/15/17)</w:t>
      </w:r>
      <w:r>
        <w:rPr>
          <w:rFonts w:ascii="Times New Roman" w:hAnsi="Times New Roman"/>
          <w:b w:val="false"/>
          <w:i w:val="false"/>
          <w:color w:val="000000"/>
          <w:sz w:val="21"/>
        </w:rPr>
        <w:t>, IAB 6/7/17, effective 7/1/17]</w:t>
      </w:r>
    </w:p>
    <w:p>
      <w:pPr>
        <w:spacing w:before="0" w:after="0"/>
        <w:ind w:left="120"/>
        <w:jc w:val="center"/>
      </w:pPr>
      <w:r>
        <w:rPr>
          <w:rFonts w:ascii="Times New Roman" w:hAnsi="Times New Roman"/>
          <w:b w:val="false"/>
          <w:i w:val="false"/>
          <w:color w:val="000000"/>
          <w:sz w:val="21"/>
        </w:rPr>
        <w:t>[Filed ARC 3791C</w:t>
      </w:r>
      <w:r>
        <w:rPr>
          <w:rFonts w:ascii="Times New Roman" w:hAnsi="Times New Roman"/>
          <w:b w:val="false"/>
          <w:i w:val="false"/>
          <w:color w:val="000000"/>
          <w:sz w:val="21"/>
        </w:rPr>
        <w:t xml:space="preserve"> (Notice ARC 3651C,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4115C</w:t>
      </w:r>
      <w:r>
        <w:rPr>
          <w:rFonts w:ascii="Times New Roman" w:hAnsi="Times New Roman"/>
          <w:b w:val="false"/>
          <w:i w:val="false"/>
          <w:color w:val="000000"/>
          <w:sz w:val="21"/>
        </w:rPr>
        <w:t xml:space="preserve"> (Notice ARC 3969C,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Emergency After Notice ARC 4470C</w:t>
      </w:r>
      <w:r>
        <w:rPr>
          <w:rFonts w:ascii="Times New Roman" w:hAnsi="Times New Roman"/>
          <w:b w:val="false"/>
          <w:i w:val="false"/>
          <w:color w:val="000000"/>
          <w:sz w:val="21"/>
        </w:rPr>
        <w:t xml:space="preserve"> (Notice ARC 4367C, IAB 3/27/19)</w:t>
      </w:r>
      <w:r>
        <w:rPr>
          <w:rFonts w:ascii="Times New Roman" w:hAnsi="Times New Roman"/>
          <w:b w:val="false"/>
          <w:i w:val="false"/>
          <w:color w:val="000000"/>
          <w:sz w:val="21"/>
        </w:rPr>
        <w:t>, IAB 6/5/19, effective 7/1/19]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5035C</w:t>
      </w:r>
      <w:r>
        <w:rPr>
          <w:rFonts w:ascii="Times New Roman" w:hAnsi="Times New Roman"/>
          <w:b w:val="false"/>
          <w:i w:val="false"/>
          <w:color w:val="000000"/>
          <w:sz w:val="21"/>
        </w:rPr>
        <w:t xml:space="preserve"> (Notice ARC 4937C, IAB 2/26/20)</w:t>
      </w:r>
      <w:r>
        <w:rPr>
          <w:rFonts w:ascii="Times New Roman" w:hAnsi="Times New Roman"/>
          <w:b w:val="false"/>
          <w:i w:val="false"/>
          <w:color w:val="000000"/>
          <w:sz w:val="21"/>
        </w:rPr>
        <w:t>, IAB 5/6/20, effective 7/1/20]</w:t>
      </w:r>
    </w:p>
    <w:p>
      <w:pPr>
        <w:spacing w:before="0" w:after="0"/>
        <w:ind w:left="120"/>
        <w:jc w:val="center"/>
      </w:pPr>
      <w:r>
        <w:rPr>
          <w:rFonts w:ascii="Times New Roman" w:hAnsi="Times New Roman"/>
          <w:b w:val="false"/>
          <w:i w:val="false"/>
          <w:color w:val="000000"/>
          <w:sz w:val="21"/>
        </w:rPr>
        <w:t>[Filed Emergency After Notice ARC 5675C</w:t>
      </w:r>
      <w:r>
        <w:rPr>
          <w:rFonts w:ascii="Times New Roman" w:hAnsi="Times New Roman"/>
          <w:b w:val="false"/>
          <w:i w:val="false"/>
          <w:color w:val="000000"/>
          <w:sz w:val="21"/>
        </w:rPr>
        <w:t xml:space="preserve"> (Notice ARC 5533C, IAB 3/24/21)</w:t>
      </w:r>
      <w:r>
        <w:rPr>
          <w:rFonts w:ascii="Times New Roman" w:hAnsi="Times New Roman"/>
          <w:b w:val="false"/>
          <w:i w:val="false"/>
          <w:color w:val="000000"/>
          <w:sz w:val="21"/>
        </w:rPr>
        <w:t>, IAB 6/16/21, effective 7/1/21]</w:t>
      </w:r>
    </w:p>
    <w:p>
      <w:pPr>
        <w:spacing w:before="0" w:after="0"/>
        <w:ind w:left="120"/>
        <w:jc w:val="center"/>
      </w:pPr>
      <w:r>
        <w:rPr>
          <w:rFonts w:ascii="Times New Roman" w:hAnsi="Times New Roman"/>
          <w:b w:val="false"/>
          <w:i w:val="false"/>
          <w:color w:val="000000"/>
          <w:sz w:val="21"/>
        </w:rPr>
        <w:t>[Filed Emergency ARC 5731C, IAB 6/30/21, effective 7/1/21]</w:t>
      </w:r>
    </w:p>
    <w:p>
      <w:pPr>
        <w:spacing w:before="0" w:after="0"/>
        <w:ind w:left="120"/>
        <w:jc w:val="center"/>
      </w:pPr>
      <w:r>
        <w:rPr>
          <w:rFonts w:ascii="Times New Roman" w:hAnsi="Times New Roman"/>
          <w:b w:val="false"/>
          <w:i w:val="false"/>
          <w:color w:val="000000"/>
          <w:sz w:val="21"/>
        </w:rPr>
        <w:t>[Filed ARC 5891C</w:t>
      </w:r>
      <w:r>
        <w:rPr>
          <w:rFonts w:ascii="Times New Roman" w:hAnsi="Times New Roman"/>
          <w:b w:val="false"/>
          <w:i w:val="false"/>
          <w:color w:val="000000"/>
          <w:sz w:val="21"/>
        </w:rPr>
        <w:t xml:space="preserve"> (Notice ARC 5732C, IAB 6/30/21)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6309C</w:t>
      </w:r>
      <w:r>
        <w:rPr>
          <w:rFonts w:ascii="Times New Roman" w:hAnsi="Times New Roman"/>
          <w:b w:val="false"/>
          <w:i w:val="false"/>
          <w:color w:val="000000"/>
          <w:sz w:val="21"/>
        </w:rPr>
        <w:t xml:space="preserve"> (Notice ARC 6209C,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Emergency After Notice ARC 6565C</w:t>
      </w:r>
      <w:r>
        <w:rPr>
          <w:rFonts w:ascii="Times New Roman" w:hAnsi="Times New Roman"/>
          <w:b w:val="false"/>
          <w:i w:val="false"/>
          <w:color w:val="000000"/>
          <w:sz w:val="21"/>
        </w:rPr>
        <w:t xml:space="preserve"> (Notice ARC 6430C, IAB 7/27/22)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6965C</w:t>
      </w:r>
      <w:r>
        <w:rPr>
          <w:rFonts w:ascii="Times New Roman" w:hAnsi="Times New Roman"/>
          <w:b w:val="false"/>
          <w:i w:val="false"/>
          <w:color w:val="000000"/>
          <w:sz w:val="21"/>
        </w:rPr>
        <w:t xml:space="preserve"> (Notice ARC 6811C, IAB 1/11/23)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8741C</w:t>
      </w:r>
      <w:r>
        <w:rPr>
          <w:rFonts w:ascii="Times New Roman" w:hAnsi="Times New Roman"/>
          <w:b w:val="false"/>
          <w:i w:val="false"/>
          <w:color w:val="000000"/>
          <w:sz w:val="21"/>
        </w:rPr>
        <w:t xml:space="preserve"> (Amended Notice ARC 8192C, IAB 8/7/24; </w:t>
      </w:r>
      <w:r>
        <w:rPr>
          <w:rFonts w:ascii="Times New Roman" w:hAnsi="Times New Roman"/>
          <w:b w:val="false"/>
          <w:i w:val="false"/>
          <w:color w:val="000000"/>
          <w:sz w:val="21"/>
        </w:rPr>
        <w:t>Notice ARC 7651C, IAB 2/21/24)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6/10/26]</w:t>
      </w:r>
    </w:p>
    <w:sectPr>
      <w:footerReference r:id="rId8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3.60.pdf" Type="http://schemas.openxmlformats.org/officeDocument/2006/relationships/hyperlink" Id="rId5"/>
    <Relationship TargetMode="External" Target="https://www.legis.iowa.gov/docs/iac/rule/441.24.1.pdf" Type="http://schemas.openxmlformats.org/officeDocument/2006/relationships/hyperlink" Id="rId6"/>
    <Relationship TargetMode="External" Target="https://www.legis.iowa.gov/docs/iac/chapter/441.93.pdf" Type="http://schemas.openxmlformats.org/officeDocument/2006/relationships/hyperlink" Id="rId7"/>
    <Relationship TargetMode="External" Target="https://www.legis.iowa.gov/docs/ico/chapter/237A.pdf" Type="http://schemas.openxmlformats.org/officeDocument/2006/relationships/hyperlink" Id="rId8"/>
    <Relationship TargetMode="External" Target="https://www.legis.iowa.gov/docs/iac/rule/441.170.2.pdf" Type="http://schemas.openxmlformats.org/officeDocument/2006/relationships/hyperlink" Id="rId9"/>
    <Relationship TargetMode="External" Target="https://www.legis.iowa.gov/docs/iac/rule/441.170.3.pdf" Type="http://schemas.openxmlformats.org/officeDocument/2006/relationships/hyperlink" Id="rId10"/>
    <Relationship TargetMode="External" Target="https://www.legis.iowa.gov/docs/iac/rule/441.170.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ac/rule/441.170.3.pdf" Type="http://schemas.openxmlformats.org/officeDocument/2006/relationships/hyperlink" Id="rId13"/>
    <Relationship TargetMode="External" Target="https://www.legis.iowa.gov/docs/iac/rule/441.170.2.pdf" Type="http://schemas.openxmlformats.org/officeDocument/2006/relationships/hyperlink" Id="rId14"/>
    <Relationship TargetMode="External" Target="https://www.legis.iowa.gov/docs/iac/rule/441.170.2.pdf" Type="http://schemas.openxmlformats.org/officeDocument/2006/relationships/hyperlink" Id="rId15"/>
    <Relationship TargetMode="External" Target="https://www.legis.iowa.gov/docs/iac/rule/441.170.2.pdf" Type="http://schemas.openxmlformats.org/officeDocument/2006/relationships/hyperlink" Id="rId16"/>
    <Relationship TargetMode="External" Target="https://www.legis.iowa.gov/docs/iac/rule/441.170.2.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170.2.pdf" Type="http://schemas.openxmlformats.org/officeDocument/2006/relationships/hyperlink" Id="rId19"/>
    <Relationship TargetMode="External" Target="https://www.legis.iowa.gov/docs/iac/rule/441.170.2.pdf" Type="http://schemas.openxmlformats.org/officeDocument/2006/relationships/hyperlink" Id="rId20"/>
    <Relationship TargetMode="External" Target="https://www.legis.iowa.gov/docs/iac/rule/441.170.2.pdf" Type="http://schemas.openxmlformats.org/officeDocument/2006/relationships/hyperlink" Id="rId21"/>
    <Relationship TargetMode="External" Target="https://www.legis.iowa.gov/docs/iac/rule/441.170.2.pdf" Type="http://schemas.openxmlformats.org/officeDocument/2006/relationships/hyperlink" Id="rId22"/>
    <Relationship TargetMode="External" Target="https://www.legis.iowa.gov/docs/iac/rule/441.170.2.pdf" Type="http://schemas.openxmlformats.org/officeDocument/2006/relationships/hyperlink" Id="rId23"/>
    <Relationship TargetMode="External" Target="https://www.legis.iowa.gov/docs/iac/chapter/481.72.pdf" Type="http://schemas.openxmlformats.org/officeDocument/2006/relationships/hyperlink" Id="rId24"/>
    <Relationship TargetMode="External" Target="https://www.legis.iowa.gov/docs/iac/rule/441.170.3.pdf" Type="http://schemas.openxmlformats.org/officeDocument/2006/relationships/hyperlink" Id="rId25"/>
    <Relationship TargetMode="External" Target="https://www.legis.iowa.gov/docs/iac/rule/441.170.2.pdf" Type="http://schemas.openxmlformats.org/officeDocument/2006/relationships/hyperlink" Id="rId26"/>
    <Relationship TargetMode="External" Target="https://www.legis.iowa.gov/docs/iac/rule/441.170.3.pdf" Type="http://schemas.openxmlformats.org/officeDocument/2006/relationships/hyperlink" Id="rId27"/>
    <Relationship TargetMode="External" Target="https://www.legis.iowa.gov/docs/iac/rule/441.170.3.pdf" Type="http://schemas.openxmlformats.org/officeDocument/2006/relationships/hyperlink" Id="rId28"/>
    <Relationship TargetMode="External" Target="https://www.legis.iowa.gov/docs/iac/rule/441.93.1.pdf" Type="http://schemas.openxmlformats.org/officeDocument/2006/relationships/hyperlink" Id="rId29"/>
    <Relationship TargetMode="External" Target="https://www.legis.iowa.gov/docs/iac/chapter/441.93.pdf" Type="http://schemas.openxmlformats.org/officeDocument/2006/relationships/hyperlink" Id="rId30"/>
    <Relationship TargetMode="External" Target="https://www.legis.iowa.gov/docs/iac/rule/441.170.2.pdf" Type="http://schemas.openxmlformats.org/officeDocument/2006/relationships/hyperlink" Id="rId31"/>
    <Relationship TargetMode="External" Target="https://www.legis.iowa.gov/docs/iac/rule/441.170.2.pdf" Type="http://schemas.openxmlformats.org/officeDocument/2006/relationships/hyperlink" Id="rId32"/>
    <Relationship TargetMode="External" Target="https://www.legis.iowa.gov/docs/iac/rule/441.170.3.pdf" Type="http://schemas.openxmlformats.org/officeDocument/2006/relationships/hyperlink" Id="rId33"/>
    <Relationship TargetMode="External" Target="https://www.legis.iowa.gov/docs/iac/rule/441.170.3.pdf" Type="http://schemas.openxmlformats.org/officeDocument/2006/relationships/hyperlink" Id="rId34"/>
    <Relationship TargetMode="External" Target="https://www.legis.iowa.gov/docs/iac/rule/441.170.3.pdf" Type="http://schemas.openxmlformats.org/officeDocument/2006/relationships/hyperlink" Id="rId35"/>
    <Relationship TargetMode="External" Target="https://www.legis.iowa.gov/docs/iac/rule/441.170.2.pdf" Type="http://schemas.openxmlformats.org/officeDocument/2006/relationships/hyperlink" Id="rId36"/>
    <Relationship TargetMode="External" Target="https://www.legis.iowa.gov/docs/iac/rule/441.170.2.pdf" Type="http://schemas.openxmlformats.org/officeDocument/2006/relationships/hyperlink" Id="rId37"/>
    <Relationship TargetMode="External" Target="https://www.legis.iowa.gov/docs/iac/rule/441.170.2.pdf" Type="http://schemas.openxmlformats.org/officeDocument/2006/relationships/hyperlink" Id="rId38"/>
    <Relationship TargetMode="External" Target="https://www.legis.iowa.gov/docs/iac/rule/441.170.2.pdf" Type="http://schemas.openxmlformats.org/officeDocument/2006/relationships/hyperlink" Id="rId39"/>
    <Relationship TargetMode="External" Target="https://www.legis.iowa.gov/docs/iac/rule/441.170.2.pdf" Type="http://schemas.openxmlformats.org/officeDocument/2006/relationships/hyperlink" Id="rId40"/>
    <Relationship TargetMode="External" Target="https://www.legis.iowa.gov/docs/iac/rule/441.170.2.pdf" Type="http://schemas.openxmlformats.org/officeDocument/2006/relationships/hyperlink" Id="rId41"/>
    <Relationship TargetMode="External" Target="https://www.legis.iowa.gov/docs/iac/rule/441.170.2.pdf" Type="http://schemas.openxmlformats.org/officeDocument/2006/relationships/hyperlink" Id="rId42"/>
    <Relationship TargetMode="External" Target="https://www.legis.iowa.gov/docs/iac/rule/441.170.2.pdf" Type="http://schemas.openxmlformats.org/officeDocument/2006/relationships/hyperlink" Id="rId43"/>
    <Relationship TargetMode="External" Target="https://www.legis.iowa.gov/docs/iac/rule/441.170.4.pdf" Type="http://schemas.openxmlformats.org/officeDocument/2006/relationships/hyperlink" Id="rId44"/>
    <Relationship TargetMode="External" Target="https://www.legis.iowa.gov/docs/iac/rule/441.170.2.pdf" Type="http://schemas.openxmlformats.org/officeDocument/2006/relationships/hyperlink" Id="rId45"/>
    <Relationship TargetMode="External" Target="https://www.legis.iowa.gov/docs/iac/chapter/441.109.pdf" Type="http://schemas.openxmlformats.org/officeDocument/2006/relationships/hyperlink" Id="rId46"/>
    <Relationship TargetMode="External" Target="https://www.legis.iowa.gov/docs/iac/chapter/441.110.pdf" Type="http://schemas.openxmlformats.org/officeDocument/2006/relationships/hyperlink" Id="rId47"/>
    <Relationship TargetMode="External" Target="https://www.legis.iowa.gov/docs/iac/chapter/441.120.pdf" Type="http://schemas.openxmlformats.org/officeDocument/2006/relationships/hyperlink" Id="rId48"/>
    <Relationship TargetMode="External" Target="https://www.legis.iowa.gov/docs/iac/rule/441.170.4.pdf" Type="http://schemas.openxmlformats.org/officeDocument/2006/relationships/hyperlink" Id="rId49"/>
    <Relationship TargetMode="External" Target="https://www.legis.iowa.gov/docs/iac/rule/441.170.4.pdf" Type="http://schemas.openxmlformats.org/officeDocument/2006/relationships/hyperlink" Id="rId50"/>
    <Relationship TargetMode="External" Target="https://www.legis.iowa.gov/docs/ico/chapter/237A.pdf" Type="http://schemas.openxmlformats.org/officeDocument/2006/relationships/hyperlink" Id="rId51"/>
    <Relationship TargetMode="External" Target="https://www.legis.iowa.gov/docs/iac/rule/441.170.4.pdf" Type="http://schemas.openxmlformats.org/officeDocument/2006/relationships/hyperlink" Id="rId52"/>
    <Relationship TargetMode="External" Target="https://www.legis.iowa.gov/docs/iac/rule/441.4.5.pdf" Type="http://schemas.openxmlformats.org/officeDocument/2006/relationships/hyperlink" Id="rId53"/>
    <Relationship TargetMode="External" Target="https://www.legis.iowa.gov/docs/iac/rule/441.170.4.pdf" Type="http://schemas.openxmlformats.org/officeDocument/2006/relationships/hyperlink" Id="rId54"/>
    <Relationship TargetMode="External" Target="https://www.legis.iowa.gov/docs/iac/rule/441.170.4.pdf" Type="http://schemas.openxmlformats.org/officeDocument/2006/relationships/hyperlink" Id="rId55"/>
    <Relationship TargetMode="External" Target="https://www.legis.iowa.gov/docs/iac/chapter/441.120.pdf" Type="http://schemas.openxmlformats.org/officeDocument/2006/relationships/hyperlink" Id="rId56"/>
    <Relationship TargetMode="External" Target="https://www.legis.iowa.gov/docs/iac/chapter/441.118.pdf" Type="http://schemas.openxmlformats.org/officeDocument/2006/relationships/hyperlink" Id="rId57"/>
    <Relationship TargetMode="External" Target="https://www.legis.iowa.gov/docs/iac/rule/441.170.4.pdf" Type="http://schemas.openxmlformats.org/officeDocument/2006/relationships/hyperlink" Id="rId58"/>
    <Relationship TargetMode="External" Target="https://www.legis.iowa.gov/docs/iac/rule/441.170.4.pdf" Type="http://schemas.openxmlformats.org/officeDocument/2006/relationships/hyperlink" Id="rId59"/>
    <Relationship TargetMode="External" Target="https://www.legis.iowa.gov/docs/iac/rule/441.170.3.pdf" Type="http://schemas.openxmlformats.org/officeDocument/2006/relationships/hyperlink" Id="rId60"/>
    <Relationship TargetMode="External" Target="https://www.legis.iowa.gov/docs/iac/rule/441.170.4.pdf" Type="http://schemas.openxmlformats.org/officeDocument/2006/relationships/hyperlink" Id="rId61"/>
    <Relationship TargetMode="External" Target="https://www.legis.iowa.gov/docs/iac/rule/441.110.6.pdf" Type="http://schemas.openxmlformats.org/officeDocument/2006/relationships/hyperlink" Id="rId62"/>
    <Relationship TargetMode="External" Target="https://www.legis.iowa.gov/docs/iac/rule/441.110.13.pdf" Type="http://schemas.openxmlformats.org/officeDocument/2006/relationships/hyperlink" Id="rId63"/>
    <Relationship TargetMode="External" Target="https://www.legis.iowa.gov/docs/iac/rule/441.110.14.pdf" Type="http://schemas.openxmlformats.org/officeDocument/2006/relationships/hyperlink" Id="rId64"/>
    <Relationship TargetMode="External" Target="https://www.legis.iowa.gov/docs/iac/rule/441.110.15.pdf" Type="http://schemas.openxmlformats.org/officeDocument/2006/relationships/hyperlink" Id="rId65"/>
    <Relationship TargetMode="External" Target="https://www.legis.iowa.gov/docs/iac/rule/441.120.6.pdf" Type="http://schemas.openxmlformats.org/officeDocument/2006/relationships/hyperlink" Id="rId66"/>
    <Relationship TargetMode="External" Target="https://www.legis.iowa.gov/docs/iac/rule/441.170.4.pdf" Type="http://schemas.openxmlformats.org/officeDocument/2006/relationships/hyperlink" Id="rId67"/>
    <Relationship TargetMode="External" Target="https://www.legis.iowa.gov/docs/iac/rule/441.170.2.pdf" Type="http://schemas.openxmlformats.org/officeDocument/2006/relationships/hyperlink" Id="rId68"/>
    <Relationship TargetMode="External" Target="https://www.legis.iowa.gov/docs/iac/rule/441.170.5.pdf" Type="http://schemas.openxmlformats.org/officeDocument/2006/relationships/hyperlink" Id="rId69"/>
    <Relationship TargetMode="External" Target="https://www.legis.iowa.gov/docs/iac/chapter/441.16.pdf" Type="http://schemas.openxmlformats.org/officeDocument/2006/relationships/hyperlink" Id="rId70"/>
    <Relationship TargetMode="External" Target="https://www.legis.iowa.gov/docs/iac/chapter/441.7.pdf" Type="http://schemas.openxmlformats.org/officeDocument/2006/relationships/hyperlink" Id="rId71"/>
    <Relationship TargetMode="External" Target="https://www.legis.iowa.gov/docs/iac/rule/441.170.7.pdf" Type="http://schemas.openxmlformats.org/officeDocument/2006/relationships/hyperlink" Id="rId72"/>
    <Relationship TargetMode="External" Target="https://www.legis.iowa.gov/docs/iac/rule/441.170.7.pdf" Type="http://schemas.openxmlformats.org/officeDocument/2006/relationships/hyperlink" Id="rId73"/>
    <Relationship TargetMode="External" Target="https://www.legis.iowa.gov/docs/iac/rule/441.170.7.pdf" Type="http://schemas.openxmlformats.org/officeDocument/2006/relationships/hyperlink" Id="rId74"/>
    <Relationship TargetMode="External" Target="https://www.legis.iowa.gov/docs/iac/rule/441.170.9.pdf" Type="http://schemas.openxmlformats.org/officeDocument/2006/relationships/hyperlink" Id="rId75"/>
    <Relationship TargetMode="External" Target="https://www.legis.iowa.gov/docs/iac/chapter/441.2506.pdf" Type="http://schemas.openxmlformats.org/officeDocument/2006/relationships/hyperlink" Id="rId76"/>
    <Relationship TargetMode="External" Target="https://www.legis.iowa.gov/docs/iac/rule/441.170.9.pdf" Type="http://schemas.openxmlformats.org/officeDocument/2006/relationships/hyperlink" Id="rId77"/>
    <Relationship TargetMode="External" Target="https://www.legis.iowa.gov/docs/iac/chapter/441.11.pdf" Type="http://schemas.openxmlformats.org/officeDocument/2006/relationships/hyperlink" Id="rId78"/>
    <Relationship TargetMode="External" Target="https://www.legis.iowa.gov/docs/ico/chapter/237A.13.pdf" Type="http://schemas.openxmlformats.org/officeDocument/2006/relationships/hyperlink" Id="rId79"/>
    <Relationship TargetMode="External" Target="https://www.legis.iowa.gov/docs/ico/chapter/237A.29.pdf" Type="http://schemas.openxmlformats.org/officeDocument/2006/relationships/hyperlink" Id="rId80"/>
    <Relationship Target="footer.xml" Type="http://schemas.openxmlformats.org/officeDocument/2006/relationships/footer" Id="rId8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