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167</w:t>
      </w:r>
    </w:p>
    <w:p>
      <w:pPr>
        <w:spacing w:before="0" w:after="0"/>
        <w:ind w:left="120"/>
        <w:jc w:val="center"/>
      </w:pPr>
      <w:r>
        <w:rPr>
          <w:rFonts w:ascii="Times New Roman" w:hAnsi="Times New Roman"/>
          <w:b w:val="false"/>
          <w:i w:val="false"/>
          <w:color w:val="000000"/>
          <w:sz w:val="21"/>
        </w:rPr>
        <w:t>JUVENILE DETENTION REIMBURSEMENT</w:t>
      </w:r>
    </w:p>
    <w:p>
      <w:pPr>
        <w:spacing w:before="0" w:after="0"/>
        <w:ind w:left="120"/>
        <w:jc w:val="center"/>
      </w:pPr>
      <w:r>
        <w:rPr>
          <w:rFonts w:ascii="Times New Roman" w:hAnsi="Times New Roman"/>
          <w:b w:val="false"/>
          <w:i w:val="false"/>
          <w:color w:val="000000"/>
          <w:sz w:val="14"/>
        </w:rPr>
        <w:t>[Prior to 2/11/87, Human Services [498]]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ANNUAL REIMBURSEMENT PROGRAM</w:t>
      </w:r>
    </w:p>
    <w:p>
      <w:pPr>
        <w:spacing w:before="0" w:after="0"/>
        <w:ind w:left="120"/>
        <w:jc w:val="both"/>
      </w:pPr>
      <w:r>
        <w:rPr>
          <w:rFonts w:ascii="Times New Roman" w:hAnsi="Times New Roman"/>
          <w:b/>
          <w:i w:val="false"/>
          <w:color w:val="000000"/>
          <w:sz w:val="22"/>
        </w:rPr>
        <w:t>441—167.1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means those expenses of the county or multicounty related to the establishment, improvements, operation, and maintenance of county or multicounty juvenile detention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or multicounty” </w:t>
      </w:r>
      <w:r>
        <w:rPr>
          <w:rFonts w:ascii="Times New Roman" w:hAnsi="Times New Roman"/>
          <w:b w:val="false"/>
          <w:i w:val="false"/>
          <w:color w:val="000000"/>
          <w:sz w:val="22"/>
        </w:rPr>
        <w:t>means that the governing body is a county board of supervisors or a combination of members of participating county boards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“Detained” </w:t>
      </w:r>
      <w:r>
        <w:rPr>
          <w:rFonts w:ascii="Times New Roman" w:hAnsi="Times New Roman"/>
          <w:b w:val="false"/>
          <w:i w:val="false"/>
          <w:color w:val="000000"/>
          <w:sz w:val="22"/>
        </w:rPr>
        <w:t>means the period of time a youth is physically occupying a bed in a juvenile detention home (that is, from the time of intake at the juvenile detention home (nothing prior to this) to the time a youth is discharged from the bed at the home (nothing after this)).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 xml:space="preserve">are those allowable costs that are directly attributable to the function of detaining youth in the home, from the point of intake through discharge from the home, as further defined in subrule </w:t>
      </w:r>
      <w:hyperlink r:id="rId5">
        <w:r>
          <w:rPr>
            <w:rStyle w:val="Hyperlink"/>
            <w:rFonts w:ascii="Times New Roman" w:hAnsi="Times New Roman"/>
            <w:b w:val="false"/>
            <w:i w:val="false"/>
            <w:color w:val="000000"/>
            <w:sz w:val="22"/>
          </w:rPr>
          <w:t>167.3(3)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8716B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3681C</w:t>
      </w:r>
      <w:r>
        <w:rPr>
          <w:rFonts w:ascii="Times New Roman" w:hAnsi="Times New Roman"/>
          <w:b w:val="false"/>
          <w:i w:val="false"/>
          <w:color w:val="000000"/>
          <w:sz w:val="16"/>
        </w:rPr>
        <w:t>, IAB 3/14/18, effective 5/1/18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441—167.2</w:t>
      </w:r>
      <w:r>
        <w:rPr>
          <w:rFonts w:ascii="Times New Roman" w:hAnsi="Times New Roman"/>
          <w:b/>
          <w:i w:val="false"/>
          <w:color w:val="000000"/>
          <w:sz w:val="22"/>
        </w:rPr>
        <w:t xml:space="preserve">(232)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Any year that the Iowa legislature makes funds available for this program, the department shall accept requests for reimbursement from eligible facilities.</w:t>
      </w:r>
    </w:p>
    <w:p>
      <w:pPr>
        <w:spacing w:before="0" w:after="0"/>
        <w:ind w:left="120"/>
        <w:jc w:val="both"/>
      </w:pPr>
      <w:r>
        <w:rPr>
          <w:rFonts w:ascii="Times New Roman" w:hAnsi="Times New Roman"/>
          <w:b/>
          <w:i w:val="false"/>
          <w:color w:val="000000"/>
          <w:sz w:val="22"/>
        </w:rPr>
        <w:t>441—167.3</w:t>
      </w:r>
      <w:r>
        <w:rPr>
          <w:rFonts w:ascii="Times New Roman" w:hAnsi="Times New Roman"/>
          <w:b/>
          <w:i w:val="false"/>
          <w:color w:val="000000"/>
          <w:sz w:val="22"/>
        </w:rPr>
        <w:t xml:space="preserve">(232) </w:t>
      </w:r>
      <w:r>
        <w:rPr>
          <w:rFonts w:ascii="Times New Roman" w:hAnsi="Times New Roman"/>
          <w:b/>
          <w:i w:val="false"/>
          <w:color w:val="000000"/>
          <w:sz w:val="22"/>
        </w:rPr>
        <w:t xml:space="preserve">Eligible detention homes. </w:t>
      </w:r>
      <w:r>
        <w:rPr>
          <w:rFonts w:ascii="Times New Roman" w:hAnsi="Times New Roman"/>
          <w:b w:val="false"/>
          <w:i w:val="false"/>
          <w:color w:val="000000"/>
          <w:sz w:val="22"/>
        </w:rPr>
        <w:t>County and multicounty juvenile detention homes shall be eligible for reimbursement under this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is approved by the department under the standards of Iowa Code chapter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IAC </w:t>
      </w:r>
      <w:hyperlink r:id="rId7">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167.3(2)</w:t>
      </w:r>
      <w:r>
        <w:rPr>
          <w:rFonts w:ascii="Times New Roman" w:hAnsi="Times New Roman"/>
          <w:b w:val="false"/>
          <w:i w:val="false"/>
          <w:color w:val="000000"/>
          <w:sz w:val="22"/>
        </w:rPr>
        <w:t> </w:t>
      </w:r>
      <w:r>
        <w:rPr>
          <w:rFonts w:ascii="Times New Roman" w:hAnsi="Times New Roman"/>
          <w:b w:val="false"/>
          <w:i w:val="false"/>
          <w:color w:val="000000"/>
          <w:sz w:val="22"/>
        </w:rPr>
        <w:t>The home submits the completed forms in paragraphs 167.3(2)</w:t>
      </w:r>
      <w:r>
        <w:rPr>
          <w:rFonts w:ascii="Times New Roman" w:hAnsi="Times New Roman"/>
          <w:b w:val="false"/>
          <w:i/>
          <w:color w:val="000000"/>
          <w:sz w:val="22"/>
        </w:rPr>
        <w:t>“a”</w:t>
      </w:r>
      <w:r>
        <w:rPr>
          <w:rFonts w:ascii="Times New Roman" w:hAnsi="Times New Roman"/>
          <w:b w:val="false"/>
          <w:i w:val="false"/>
          <w:color w:val="000000"/>
          <w:sz w:val="22"/>
        </w:rPr>
        <w:t xml:space="preserve"> and 167.3(2)</w:t>
      </w:r>
      <w:r>
        <w:rPr>
          <w:rFonts w:ascii="Times New Roman" w:hAnsi="Times New Roman"/>
          <w:b w:val="false"/>
          <w:i/>
          <w:color w:val="000000"/>
          <w:sz w:val="22"/>
        </w:rPr>
        <w:t>“b”</w:t>
      </w:r>
      <w:r>
        <w:rPr>
          <w:rFonts w:ascii="Times New Roman" w:hAnsi="Times New Roman"/>
          <w:b w:val="false"/>
          <w:i w:val="false"/>
          <w:color w:val="000000"/>
          <w:sz w:val="22"/>
        </w:rPr>
        <w:t xml:space="preserve"> by March 15 and the certified audit in paragraph 167.3(2)</w:t>
      </w:r>
      <w:r>
        <w:rPr>
          <w:rFonts w:ascii="Times New Roman" w:hAnsi="Times New Roman"/>
          <w:b w:val="false"/>
          <w:i/>
          <w:color w:val="000000"/>
          <w:sz w:val="22"/>
        </w:rPr>
        <w:t>“c”</w:t>
      </w:r>
      <w:r>
        <w:rPr>
          <w:rFonts w:ascii="Times New Roman" w:hAnsi="Times New Roman"/>
          <w:b w:val="false"/>
          <w:i w:val="false"/>
          <w:color w:val="000000"/>
          <w:sz w:val="22"/>
        </w:rPr>
        <w:t xml:space="preserve"> by March 15 or within ten days of completion if after March 15 of the year following the conclusion of the state fiscal year for which reimbursement will be made. The home shall have an independent certified public accountant or an independent accounting firm complete the financial and statistical report in paragraph 167.3(2)</w:t>
      </w:r>
      <w:r>
        <w:rPr>
          <w:rFonts w:ascii="Times New Roman" w:hAnsi="Times New Roman"/>
          <w:b w:val="false"/>
          <w:i/>
          <w:color w:val="000000"/>
          <w:sz w:val="22"/>
        </w:rPr>
        <w:t>“b”</w:t>
      </w:r>
      <w:r>
        <w:rPr>
          <w:rFonts w:ascii="Times New Roman" w:hAnsi="Times New Roman"/>
          <w:b w:val="false"/>
          <w:i w:val="false"/>
          <w:color w:val="000000"/>
          <w:sz w:val="22"/>
        </w:rPr>
        <w:t xml:space="preserve"> and certify the fair presentation of the report. The preparer shall have the experience necessary to complete the report in accordance with generally accepted accounting principles (GAAP) and the instructions for completing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statement delivered in printed form or via electronic mail identifying the eligible total net cost that will be claimed under rule </w:t>
      </w:r>
      <w:hyperlink r:id="rId8">
        <w:r>
          <w:rPr>
            <w:rStyle w:val="Hyperlink"/>
            <w:rFonts w:ascii="Times New Roman" w:hAnsi="Times New Roman"/>
            <w:b w:val="false"/>
            <w:i w:val="false"/>
            <w:color w:val="000000"/>
            <w:sz w:val="22"/>
          </w:rPr>
          <w:t>441—167.5</w:t>
        </w:r>
      </w:hyperlink>
      <w:r>
        <w:rPr>
          <w:rFonts w:ascii="Times New Roman" w:hAnsi="Times New Roman"/>
          <w:b w:val="false"/>
          <w:i w:val="false"/>
          <w:color w:val="000000"/>
          <w:sz w:val="22"/>
        </w:rPr>
        <w:t>(232).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electronic copy of the department-authorized financial and statistical report for juvenile detention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electronic copy of the home’s certified audit containing financial information for the period for which reimbursement is being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167.3(3)</w:t>
      </w:r>
      <w:r>
        <w:rPr>
          <w:rFonts w:ascii="Times New Roman" w:hAnsi="Times New Roman"/>
          <w:b w:val="false"/>
          <w:i w:val="false"/>
          <w:color w:val="000000"/>
          <w:sz w:val="22"/>
        </w:rPr>
        <w:t> </w:t>
      </w:r>
      <w:r>
        <w:rPr>
          <w:rFonts w:ascii="Times New Roman" w:hAnsi="Times New Roman"/>
          <w:b w:val="false"/>
          <w:i w:val="false"/>
          <w:color w:val="000000"/>
          <w:sz w:val="22"/>
        </w:rPr>
        <w:t>The department has reviewed the information submitted and determined that the costs to be claimed meet eligibility requirements. Eligible costs shall be determined by using a cost allocation methodology that follows generally accepted accounting principles (GAAP). Eligible costs shall be based on the portions of the allowable costs that are directly attributable to the function of detaining youth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are not eligible for reimbursement if a supplemental funding, reimbursement, or refund source is available to the home. County payments to an eligible home for the function of detaining youth in the home (“care and keep”) are not considered to be supplemental funding, reimbursement, or refund sources for the purpose of this subrule. Ineligible costs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Refundable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funded by sources other than the juvenile detention reimbursement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Operational activities such as the food and nutrition program that is funded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attributed to portions of the home not directly used for detaining children are not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of alternatives to detaining youth in the approved detention home are not eligible for reimbursement. Services ineligible for reimbursement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tracking and monitoring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Transportation during the time a youth is detained that is not related to service or care and keep or that is the responsibility of or funded by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In-home detention.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Capital expenses shall be depreciated over the useful life of the item following generally accepted accounting principles. The annual depreciated amount for items that are eligible costs may be claimed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expenses shall include items costing more than $5,000 that have a useful life of over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Depreciation schedules shall be filed annually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8716B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3681C</w:t>
      </w:r>
      <w:r>
        <w:rPr>
          <w:rFonts w:ascii="Times New Roman" w:hAnsi="Times New Roman"/>
          <w:b w:val="false"/>
          <w:i w:val="false"/>
          <w:color w:val="000000"/>
          <w:sz w:val="16"/>
        </w:rPr>
        <w:t>, IAB 3/14/18, effective 5/1/18</w:t>
      </w:r>
      <w:r>
        <w:rPr>
          <w:rFonts w:ascii="Times New Roman" w:hAnsi="Times New Roman"/>
          <w:b w:val="false"/>
          <w:i w:val="false"/>
          <w:color w:val="000000"/>
          <w:sz w:val="16"/>
        </w:rPr>
        <w:t xml:space="preserve">; </w:t>
      </w:r>
      <w:r>
        <w:rPr>
          <w:rFonts w:ascii="Times New Roman" w:hAnsi="Times New Roman"/>
          <w:b/>
          <w:i w:val="false"/>
          <w:color w:val="000000"/>
          <w:sz w:val="16"/>
        </w:rPr>
        <w:t>ARC 4411C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441—167.4</w:t>
      </w:r>
      <w:r>
        <w:rPr>
          <w:rFonts w:ascii="Times New Roman" w:hAnsi="Times New Roman"/>
          <w:b/>
          <w:i w:val="false"/>
          <w:color w:val="000000"/>
          <w:sz w:val="22"/>
        </w:rPr>
        <w:t xml:space="preserve">(232) </w:t>
      </w:r>
      <w:r>
        <w:rPr>
          <w:rFonts w:ascii="Times New Roman" w:hAnsi="Times New Roman"/>
          <w:b/>
          <w:i w:val="false"/>
          <w:color w:val="000000"/>
          <w:sz w:val="22"/>
        </w:rPr>
        <w:t xml:space="preserve">Available reimbursement. </w:t>
      </w:r>
      <w:r>
        <w:rPr>
          <w:rFonts w:ascii="Times New Roman" w:hAnsi="Times New Roman"/>
          <w:b w:val="false"/>
          <w:i w:val="false"/>
          <w:color w:val="000000"/>
          <w:sz w:val="22"/>
        </w:rPr>
        <w:t>The reimbursement for the participating detention homes shall be based on the distribution formula authorized by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3681C</w:t>
      </w:r>
      <w:r>
        <w:rPr>
          <w:rFonts w:ascii="Times New Roman" w:hAnsi="Times New Roman"/>
          <w:b w:val="false"/>
          <w:i w:val="false"/>
          <w:color w:val="000000"/>
          <w:sz w:val="16"/>
        </w:rPr>
        <w:t>, IAB 3/14/18, effective 5/1/18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441—167.5</w:t>
      </w:r>
      <w:r>
        <w:rPr>
          <w:rFonts w:ascii="Times New Roman" w:hAnsi="Times New Roman"/>
          <w:b/>
          <w:i w:val="false"/>
          <w:color w:val="000000"/>
          <w:sz w:val="22"/>
        </w:rPr>
        <w:t xml:space="preserve">(232) </w:t>
      </w:r>
      <w:r>
        <w:rPr>
          <w:rFonts w:ascii="Times New Roman" w:hAnsi="Times New Roman"/>
          <w:b/>
          <w:i w:val="false"/>
          <w:color w:val="000000"/>
          <w:sz w:val="22"/>
        </w:rPr>
        <w:t xml:space="preserve">Submission of voucher. </w:t>
      </w:r>
      <w:r>
        <w:rPr>
          <w:rFonts w:ascii="Times New Roman" w:hAnsi="Times New Roman"/>
          <w:b w:val="false"/>
          <w:i w:val="false"/>
          <w:color w:val="000000"/>
          <w:sz w:val="22"/>
        </w:rPr>
        <w:t>Eligible detention homes shall submit a complete signed and dated Form GAX, General Accounting Expenditure, to the department to claim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167.5(1)</w:t>
      </w:r>
      <w:r>
        <w:rPr>
          <w:rFonts w:ascii="Times New Roman" w:hAnsi="Times New Roman"/>
          <w:b w:val="false"/>
          <w:i w:val="false"/>
          <w:color w:val="000000"/>
          <w:sz w:val="22"/>
        </w:rPr>
        <w:t> </w:t>
      </w:r>
      <w:r>
        <w:rPr>
          <w:rFonts w:ascii="Times New Roman" w:hAnsi="Times New Roman"/>
          <w:b w:val="false"/>
          <w:i w:val="false"/>
          <w:color w:val="000000"/>
          <w:sz w:val="22"/>
        </w:rPr>
        <w:t>Form GAX shall be submitted to the Department of Human Services, Division of Fiscal Management, First Floor, Hoover State Office Building, 1305 East Walnut Street, Des Moines, Iowa 50319-0114, by August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167.5(2)</w:t>
      </w:r>
      <w:r>
        <w:rPr>
          <w:rFonts w:ascii="Times New Roman" w:hAnsi="Times New Roman"/>
          <w:b w:val="false"/>
          <w:i w:val="false"/>
          <w:color w:val="000000"/>
          <w:sz w:val="22"/>
        </w:rPr>
        <w:t> </w:t>
      </w:r>
      <w:r>
        <w:rPr>
          <w:rFonts w:ascii="Times New Roman" w:hAnsi="Times New Roman"/>
          <w:b w:val="false"/>
          <w:i w:val="false"/>
          <w:color w:val="000000"/>
          <w:sz w:val="22"/>
        </w:rPr>
        <w:t>The Form GAX shall include the total net eligible costs incurred between July 1 and June 30 of the year covered by the reimbursement. These costs will be used to calculate the reimbursement amount based on the distribution formula authorized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167.5(3)</w:t>
      </w:r>
      <w:r>
        <w:rPr>
          <w:rFonts w:ascii="Times New Roman" w:hAnsi="Times New Roman"/>
          <w:b w:val="false"/>
          <w:i w:val="false"/>
          <w:color w:val="000000"/>
          <w:sz w:val="22"/>
        </w:rPr>
        <w:t> </w:t>
      </w:r>
      <w:r>
        <w:rPr>
          <w:rFonts w:ascii="Times New Roman" w:hAnsi="Times New Roman"/>
          <w:b w:val="false"/>
          <w:i w:val="false"/>
          <w:color w:val="000000"/>
          <w:sz w:val="22"/>
        </w:rPr>
        <w:t>Only detention homes that submit Form GAX by August 1 shall receive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8716B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3681C</w:t>
      </w:r>
      <w:r>
        <w:rPr>
          <w:rFonts w:ascii="Times New Roman" w:hAnsi="Times New Roman"/>
          <w:b w:val="false"/>
          <w:i w:val="false"/>
          <w:color w:val="000000"/>
          <w:sz w:val="16"/>
        </w:rPr>
        <w:t>, IAB 3/14/18, effective 5/1/18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441—167.6</w:t>
      </w:r>
      <w:r>
        <w:rPr>
          <w:rFonts w:ascii="Times New Roman" w:hAnsi="Times New Roman"/>
          <w:b/>
          <w:i w:val="false"/>
          <w:color w:val="000000"/>
          <w:sz w:val="22"/>
        </w:rPr>
        <w:t xml:space="preserve">(232) </w:t>
      </w:r>
      <w:r>
        <w:rPr>
          <w:rFonts w:ascii="Times New Roman" w:hAnsi="Times New Roman"/>
          <w:b/>
          <w:i w:val="false"/>
          <w:color w:val="000000"/>
          <w:sz w:val="22"/>
        </w:rPr>
        <w:t xml:space="preserve">Reimbursement by the department. </w:t>
      </w:r>
      <w:r>
        <w:rPr>
          <w:rFonts w:ascii="Times New Roman" w:hAnsi="Times New Roman"/>
          <w:b w:val="false"/>
          <w:i w:val="false"/>
          <w:color w:val="000000"/>
          <w:sz w:val="22"/>
        </w:rPr>
        <w:t>Reimbursement shall be made to those participating juvenile detention homes that have complied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3681C</w:t>
      </w:r>
      <w:r>
        <w:rPr>
          <w:rFonts w:ascii="Times New Roman" w:hAnsi="Times New Roman"/>
          <w:b w:val="false"/>
          <w:i w:val="false"/>
          <w:color w:val="000000"/>
          <w:sz w:val="16"/>
        </w:rPr>
        <w:t>, IAB 3/14/18, effective 5/1/18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232.142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441—167.7</w:t>
      </w:r>
      <w:r>
        <w:rPr>
          <w:rFonts w:ascii="Times New Roman" w:hAnsi="Times New Roman"/>
          <w:b w:val="false"/>
          <w:i w:val="false"/>
          <w:color w:val="000000"/>
          <w:sz w:val="22"/>
        </w:rPr>
        <w:t xml:space="preserve"> to </w:t>
      </w:r>
      <w:r>
        <w:rPr>
          <w:rFonts w:ascii="Times New Roman" w:hAnsi="Times New Roman"/>
          <w:b/>
          <w:i w:val="false"/>
          <w:color w:val="000000"/>
          <w:sz w:val="22"/>
        </w:rPr>
        <w:t>167.10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SEVENTY-TWO HOUR REIMBURSEMENT PROGRAM</w:t>
      </w:r>
    </w:p>
    <w:p>
      <w:pPr>
        <w:spacing w:before="0" w:after="0"/>
        <w:ind w:left="120"/>
        <w:jc w:val="left"/>
      </w:pPr>
    </w:p>
    <w:p>
      <w:pPr>
        <w:spacing w:before="0" w:after="0"/>
        <w:ind w:left="120"/>
        <w:jc w:val="center"/>
      </w:pP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11/18/83, Notice 5/25/83—published 12/7/83, effective 2/1/84]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4/13/95, Notice 3/1/95—published 5/10/95, effective 7/1/95]</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ARC 8716B</w:t>
      </w:r>
      <w:r>
        <w:rPr>
          <w:rFonts w:ascii="Times New Roman" w:hAnsi="Times New Roman"/>
          <w:b w:val="false"/>
          <w:i w:val="false"/>
          <w:color w:val="000000"/>
          <w:sz w:val="21"/>
        </w:rPr>
        <w:t xml:space="preserve"> (Notice ARC 8527B, IAB 2/10/10)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ARC 3681C</w:t>
      </w:r>
      <w:r>
        <w:rPr>
          <w:rFonts w:ascii="Times New Roman" w:hAnsi="Times New Roman"/>
          <w:b w:val="false"/>
          <w:i w:val="false"/>
          <w:color w:val="000000"/>
          <w:sz w:val="21"/>
        </w:rPr>
        <w:t xml:space="preserve"> (Notice ARC 3546C, IAB 1/3/18)</w:t>
      </w:r>
      <w:r>
        <w:rPr>
          <w:rFonts w:ascii="Times New Roman" w:hAnsi="Times New Roman"/>
          <w:b w:val="false"/>
          <w:i w:val="false"/>
          <w:color w:val="000000"/>
          <w:sz w:val="21"/>
        </w:rPr>
        <w:t>, IAB 3/14/18, effective 5/1/18]</w:t>
      </w:r>
    </w:p>
    <w:p>
      <w:pPr>
        <w:spacing w:before="0" w:after="0"/>
        <w:ind w:left="120"/>
        <w:jc w:val="center"/>
      </w:pPr>
      <w:r>
        <w:rPr>
          <w:rFonts w:ascii="Times New Roman" w:hAnsi="Times New Roman"/>
          <w:b w:val="false"/>
          <w:i w:val="false"/>
          <w:color w:val="000000"/>
          <w:sz w:val="21"/>
        </w:rPr>
        <w:t>[Filed ARC 4411C</w:t>
      </w:r>
      <w:r>
        <w:rPr>
          <w:rFonts w:ascii="Times New Roman" w:hAnsi="Times New Roman"/>
          <w:b w:val="false"/>
          <w:i w:val="false"/>
          <w:color w:val="000000"/>
          <w:sz w:val="21"/>
        </w:rPr>
        <w:t xml:space="preserve"> (Notice ARC 4126C, IAB 11/21/18)</w:t>
      </w:r>
      <w:r>
        <w:rPr>
          <w:rFonts w:ascii="Times New Roman" w:hAnsi="Times New Roman"/>
          <w:b w:val="false"/>
          <w:i w:val="false"/>
          <w:color w:val="000000"/>
          <w:sz w:val="21"/>
        </w:rPr>
        <w:t>, IAB 4/24/19, effective 5/29/19]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67.3.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ac/chapter/441.105.pdf" Type="http://schemas.openxmlformats.org/officeDocument/2006/relationships/hyperlink" Id="rId7"/>
    <Relationship TargetMode="External" Target="https://www.legis.iowa.gov/docs/iac/rule/441.167.5.pdf" Type="http://schemas.openxmlformats.org/officeDocument/2006/relationships/hyperlink" Id="rId8"/>
    <Relationship TargetMode="External" Target="https://www.legis.iowa.gov/docs/ico/chapter/232.14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