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NOTICES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441—16.1</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“Adequate notice” </w:t>
      </w:r>
      <w:r>
        <w:rPr>
          <w:rFonts w:ascii="Times New Roman" w:hAnsi="Times New Roman"/>
          <w:b w:val="false"/>
          <w:i w:val="false"/>
          <w:color w:val="000000"/>
          <w:sz w:val="22"/>
        </w:rPr>
        <w:t>means any notice of decision or notice of action issued by the department or on the department’s behalf that includes all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description of the action taken;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effective date of the action;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specific reasons supporting the action, stated language likely to be understood by the average program applicant or enrollee;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References to applicable provisions of law supporting the action;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 explanation of the right to appeal;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circumstances under which assistance is continued when an appeal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“Adverse benefit determination” </w:t>
      </w:r>
      <w:r>
        <w:rPr>
          <w:rFonts w:ascii="Times New Roman" w:hAnsi="Times New Roman"/>
          <w:b w:val="false"/>
          <w:i w:val="false"/>
          <w:color w:val="000000"/>
          <w:sz w:val="22"/>
        </w:rPr>
        <w:t>means any adverse action taken by the department regarding a program administered by the department or on the department’s behalf, excluding department decisions about requests for waivers of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“Assistance program” </w:t>
      </w:r>
      <w:r>
        <w:rPr>
          <w:rFonts w:ascii="Times New Roman" w:hAnsi="Times New Roman"/>
          <w:b w:val="false"/>
          <w:i w:val="false"/>
          <w:color w:val="000000"/>
          <w:sz w:val="22"/>
        </w:rPr>
        <w:t>means a program administered by the department or on the department’s behalf through which qualifying individuals receive benefits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“Enrollee” </w:t>
      </w:r>
      <w:r>
        <w:rPr>
          <w:rFonts w:ascii="Times New Roman" w:hAnsi="Times New Roman"/>
          <w:b w:val="false"/>
          <w:i w:val="false"/>
          <w:color w:val="000000"/>
          <w:sz w:val="22"/>
        </w:rPr>
        <w:t>means any applicant for, or recipient of, benefits or services pursuant to an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“Timely” </w:t>
      </w:r>
      <w:r>
        <w:rPr>
          <w:rFonts w:ascii="Times New Roman" w:hAnsi="Times New Roman"/>
          <w:b w:val="false"/>
          <w:i w:val="false"/>
          <w:color w:val="000000"/>
          <w:sz w:val="22"/>
        </w:rPr>
        <w:t>means that the notice is sent at least ten calendar days before the date the adverse benefit determination would become effective. The timely notice period begins on the day after the notice is sent.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441—16.2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16.2(1)</w:t>
      </w:r>
      <w:r>
        <w:rPr>
          <w:rFonts w:ascii="Times New Roman" w:hAnsi="Times New Roman"/>
          <w:b w:val="false"/>
          <w:i w:val="false"/>
          <w:color w:val="000000"/>
          <w:sz w:val="22"/>
        </w:rPr>
        <w:t> </w:t>
      </w:r>
      <w:r>
        <w:rPr>
          <w:rFonts w:ascii="Times New Roman" w:hAnsi="Times New Roman"/>
          <w:b w:val="false"/>
          <w:i/>
          <w:color w:val="000000"/>
          <w:sz w:val="22"/>
        </w:rPr>
        <w:t xml:space="preserve">Written timely and adequate notice. </w:t>
      </w:r>
      <w:r>
        <w:rPr>
          <w:rFonts w:ascii="Times New Roman" w:hAnsi="Times New Roman"/>
          <w:b w:val="false"/>
          <w:i w:val="false"/>
          <w:color w:val="000000"/>
          <w:sz w:val="22"/>
        </w:rPr>
        <w:t>When required by federal or state law, the department will provide written timely and adequate notice of the right to appeal any adverse benefit determination that affects an individual who is applying for, or receiving benefits from, an assistance program. The department will also provide written timely notice of pending actions for a federal tax or debtor offset.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16.2(2)</w:t>
      </w:r>
      <w:r>
        <w:rPr>
          <w:rFonts w:ascii="Times New Roman" w:hAnsi="Times New Roman"/>
          <w:b w:val="false"/>
          <w:i w:val="false"/>
          <w:color w:val="000000"/>
          <w:sz w:val="22"/>
        </w:rPr>
        <w:t> </w:t>
      </w:r>
      <w:r>
        <w:rPr>
          <w:rFonts w:ascii="Times New Roman" w:hAnsi="Times New Roman"/>
          <w:b w:val="false"/>
          <w:i/>
          <w:color w:val="000000"/>
          <w:sz w:val="22"/>
        </w:rPr>
        <w:t xml:space="preserve">Adequate notice. </w:t>
      </w:r>
      <w:r>
        <w:rPr>
          <w:rFonts w:ascii="Times New Roman" w:hAnsi="Times New Roman"/>
          <w:b w:val="false"/>
          <w:i w:val="false"/>
          <w:color w:val="000000"/>
          <w:sz w:val="22"/>
        </w:rPr>
        <w:t>The department will give adequate notice of the approval or denial of assistance or services and the approval or denial of a license, certification, approval, registration, or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16.2(3)</w:t>
      </w:r>
      <w:r>
        <w:rPr>
          <w:rFonts w:ascii="Times New Roman" w:hAnsi="Times New Roman"/>
          <w:b w:val="false"/>
          <w:i w:val="false"/>
          <w:color w:val="000000"/>
          <w:sz w:val="22"/>
        </w:rPr>
        <w:t> </w:t>
      </w:r>
      <w:r>
        <w:rPr>
          <w:rFonts w:ascii="Times New Roman" w:hAnsi="Times New Roman"/>
          <w:b w:val="false"/>
          <w:i/>
          <w:color w:val="000000"/>
          <w:sz w:val="22"/>
        </w:rPr>
        <w:t xml:space="preserve">Dispensing with timely notice. </w:t>
      </w:r>
      <w:r>
        <w:rPr>
          <w:rFonts w:ascii="Times New Roman" w:hAnsi="Times New Roman"/>
          <w:b w:val="false"/>
          <w:i w:val="false"/>
          <w:color w:val="000000"/>
          <w:sz w:val="22"/>
        </w:rPr>
        <w:t>Timely notice may be dispensed with, but adequate notice will be sent no later than the date benefits would have been issued,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factual information confirming the death of the enrollee or of the family investment program payee and there is no relative available to serve as a new 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enrollee provides a clearly written, signed statement that the enrollee no longer wishes to receive assistance, or gives information that requires termination or reduction of assistance, and the enrollee has indicated, in writing, that the enrollee understands that the consequence of supplying the information is termination or reduction of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enrollee has been admitted or committed to an institution that does not qualify for payment under an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enrollee has been placed in skilled nursing care, intermediate care, or long-term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whereabouts of the enrollee are unknown and mail directed to the enrollee has been returned by the post office indicating no known forwarding address. When the whereabouts of the enrollee become known during the payment period covered by the returned warrant, the warrant will be made available to the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establishes that the enrollee has been accepted for assistance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Cash assistance or the supplemental nutrition assistance program is changed because a child is removed from the home as a result of a judicial determination or is voluntarily placed in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change in the level of medical care is prescribed by the enrollee’s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special allowance or service granted for a specific period is terminated and the enrollee has been informed in writing at the time of initiation that the allowance or service will terminate at the end of the specified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notice involves an adverse determination made with regard to the preadmission screening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terminates or reduces benefits or makes changes as described at </w:t>
      </w:r>
      <w:hyperlink r:id="rId5">
        <w:r>
          <w:rPr>
            <w:rStyle w:val="Hyperlink"/>
            <w:rFonts w:ascii="Times New Roman" w:hAnsi="Times New Roman"/>
            <w:b w:val="false"/>
            <w:i w:val="false"/>
            <w:color w:val="000000"/>
            <w:sz w:val="22"/>
          </w:rPr>
          <w:t>441—subrule 40.27(3)</w:t>
        </w:r>
      </w:hyperlink>
      <w:r>
        <w:rPr>
          <w:rFonts w:ascii="Times New Roman" w:hAnsi="Times New Roman"/>
          <w:b w:val="false"/>
          <w:i w:val="false"/>
          <w:color w:val="000000"/>
          <w:sz w:val="22"/>
        </w:rPr>
        <w:t xml:space="preserve"> or rule </w:t>
      </w:r>
      <w:hyperlink r:id="rId6">
        <w:r>
          <w:rPr>
            <w:rStyle w:val="Hyperlink"/>
            <w:rFonts w:ascii="Times New Roman" w:hAnsi="Times New Roman"/>
            <w:b w:val="false"/>
            <w:i w:val="false"/>
            <w:color w:val="000000"/>
            <w:sz w:val="22"/>
          </w:rPr>
          <w:t>441—75.52(249A)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terminates benefits for failure to return a completed report form, as described in paragraph </w:t>
      </w:r>
      <w:hyperlink r:id="rId7">
        <w:r>
          <w:rPr>
            <w:rStyle w:val="Hyperlink"/>
            <w:rFonts w:ascii="Times New Roman" w:hAnsi="Times New Roman"/>
            <w:b w:val="false"/>
            <w:i w:val="false"/>
            <w:color w:val="000000"/>
            <w:sz w:val="22"/>
          </w:rPr>
          <w:t>16.3(3)</w:t>
        </w:r>
        <w:r>
          <w:rPr>
            <w:rFonts w:ascii="Times New Roman" w:hAnsi="Times New Roman"/>
            <w:b w:val="false"/>
            <w:i/>
            <w:color w:val="000000"/>
            <w:sz w:val="22"/>
          </w:rPr>
          <w:t>“k.”</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department approves or denies an application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The department implements a mass change based on law or rule changes that affect a group of enrollees.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8045C</w:t>
      </w:r>
      <w:r>
        <w:rPr>
          <w:rFonts w:ascii="Times New Roman" w:hAnsi="Times New Roman"/>
          <w:b w:val="false"/>
          <w:i w:val="false"/>
          <w:color w:val="000000"/>
          <w:sz w:val="21"/>
        </w:rPr>
        <w:t xml:space="preserve"> (Notice ARC 7358C, IAB 1/24/24)</w:t>
      </w:r>
      <w:r>
        <w:rPr>
          <w:rFonts w:ascii="Times New Roman" w:hAnsi="Times New Roman"/>
          <w:b w:val="false"/>
          <w:i w:val="false"/>
          <w:color w:val="000000"/>
          <w:sz w:val="21"/>
        </w:rPr>
        <w:t>, IAB 5/29/24, effective 7/3/24]</w:t>
      </w:r>
    </w:p>
    <w:p>
      <w:pPr>
        <w:spacing w:before="0" w:after="0"/>
        <w:ind w:left="120"/>
        <w:jc w:val="center"/>
      </w:pPr>
      <w:r>
        <w:rPr>
          <w:rFonts w:ascii="Times New Roman" w:hAnsi="Times New Roman"/>
          <w:b w:val="false"/>
          <w:i w:val="false"/>
          <w:color w:val="000000"/>
          <w:sz w:val="21"/>
        </w:rPr>
        <w:t>[Filed ARC 8897C</w:t>
      </w:r>
      <w:r>
        <w:rPr>
          <w:rFonts w:ascii="Times New Roman" w:hAnsi="Times New Roman"/>
          <w:b w:val="false"/>
          <w:i w:val="false"/>
          <w:color w:val="000000"/>
          <w:sz w:val="21"/>
        </w:rPr>
        <w:t xml:space="preserve"> (Notice ARC 8426C, IAB 11/27/24)</w:t>
      </w:r>
      <w:r>
        <w:rPr>
          <w:rFonts w:ascii="Times New Roman" w:hAnsi="Times New Roman"/>
          <w:b w:val="false"/>
          <w:i w:val="false"/>
          <w:color w:val="000000"/>
          <w:sz w:val="21"/>
        </w:rPr>
        <w:t>, IAB 2/19/25, effective 3/26/25]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40.27.pdf" Type="http://schemas.openxmlformats.org/officeDocument/2006/relationships/hyperlink" Id="rId5"/>
    <Relationship TargetMode="External" Target="https://www.legis.iowa.gov/docs/iac/rule/441.75.52.pdf" Type="http://schemas.openxmlformats.org/officeDocument/2006/relationships/hyperlink" Id="rId6"/>
    <Relationship TargetMode="External" Target="https://www.legis.iowa.gov/docs/iac/rule/441.16.3.pdf" Type="http://schemas.openxmlformats.org/officeDocument/2006/relationships/hyperlink" Id="rId7"/>
    <Relationship TargetMode="External" Target="https://www.legis.iowa.gov/docs/ico/chapter/17A.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