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PAYMENTS FOR FOSTER CARE</w:t>
      </w:r>
    </w:p>
    <w:p>
      <w:pPr>
        <w:spacing w:before="0" w:after="0"/>
        <w:ind w:left="120"/>
        <w:jc w:val="center"/>
      </w:pPr>
      <w:r>
        <w:rPr>
          <w:rFonts w:ascii="Times New Roman" w:hAnsi="Times New Roman"/>
          <w:b w:val="false"/>
          <w:i w:val="false"/>
          <w:color w:val="000000"/>
          <w:sz w:val="14"/>
        </w:rPr>
        <w:t>[Prior to 7/1/83, Social Services[770] Ch 137]</w:t>
      </w:r>
    </w:p>
    <w:p>
      <w:pPr>
        <w:spacing w:before="0" w:after="0"/>
        <w:ind w:left="120"/>
        <w:jc w:val="center"/>
      </w:pPr>
      <w:r>
        <w:rPr>
          <w:rFonts w:ascii="Times New Roman" w:hAnsi="Times New Roman"/>
          <w:b w:val="false"/>
          <w:i w:val="false"/>
          <w:color w:val="000000"/>
          <w:sz w:val="14"/>
        </w:rPr>
        <w:t>[Previously appeared as Ch 137—renumbered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4/1/31</w:t>
      </w:r>
    </w:p>
    <w:p>
      <w:pPr>
        <w:spacing w:before="0" w:after="0"/>
        <w:ind w:left="120"/>
        <w:jc w:val="both"/>
      </w:pPr>
      <w:r>
        <w:rPr>
          <w:rFonts w:ascii="Times New Roman" w:hAnsi="Times New Roman"/>
          <w:b/>
          <w:i w:val="false"/>
          <w:color w:val="000000"/>
          <w:sz w:val="22"/>
        </w:rPr>
        <w:t>441—156.1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welfare services”</w:t>
      </w:r>
      <w:r>
        <w:rPr>
          <w:rFonts w:ascii="Times New Roman" w:hAnsi="Times New Roman"/>
          <w:b w:val="false"/>
          <w:i w:val="false"/>
          <w:color w:val="000000"/>
          <w:sz w:val="22"/>
        </w:rPr>
        <w:t> </w:t>
      </w:r>
      <w:r>
        <w:rPr>
          <w:rFonts w:ascii="Times New Roman" w:hAnsi="Times New Roman"/>
          <w:b w:val="false"/>
          <w:i w:val="false"/>
          <w:color w:val="000000"/>
          <w:sz w:val="22"/>
        </w:rPr>
        <w:t>means age-appropriate activities to maintain a child’s connection to the child’s family and community, to promote reunification or other permanent placement, and to facilitate a child’s transition 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of foster care”</w:t>
      </w:r>
      <w:r>
        <w:rPr>
          <w:rFonts w:ascii="Times New Roman" w:hAnsi="Times New Roman"/>
          <w:b w:val="false"/>
          <w:i w:val="false"/>
          <w:color w:val="000000"/>
          <w:sz w:val="22"/>
        </w:rPr>
        <w:t> </w:t>
      </w:r>
      <w:r>
        <w:rPr>
          <w:rFonts w:ascii="Times New Roman" w:hAnsi="Times New Roman"/>
          <w:b w:val="false"/>
          <w:i w:val="false"/>
          <w:color w:val="000000"/>
          <w:sz w:val="22"/>
        </w:rPr>
        <w:t>means the maintenance and supervision costs of foster family care, the maintenance costs and child welfare service costs of group care, and the maintenance and service costs of supervised apartment living and shelter care. The cost for foster family care supervision and for supervised apartment living services provided directly by the department caseworker is $250 per month. When using this average monthly charge results in unearned income or parental liability being collected in excess of the cost of foster care, the excess funds will be placed in the child’s escrow account. The cost for supervised apartment living services purchased from a private provider are to be the actual costs paid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“Earned income”</w:t>
      </w:r>
      <w:r>
        <w:rPr>
          <w:rFonts w:ascii="Times New Roman" w:hAnsi="Times New Roman"/>
          <w:b w:val="false"/>
          <w:i w:val="false"/>
          <w:color w:val="000000"/>
          <w:sz w:val="22"/>
        </w:rPr>
        <w:t> </w:t>
      </w:r>
      <w:r>
        <w:rPr>
          <w:rFonts w:ascii="Times New Roman" w:hAnsi="Times New Roman"/>
          <w:b w:val="false"/>
          <w:i w:val="false"/>
          <w:color w:val="000000"/>
          <w:sz w:val="22"/>
        </w:rPr>
        <w:t>means income in the form of a salary, wages, tips, bonuses, commissions earned as an employee, income from job corps or profit from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“Escrow account”</w:t>
      </w:r>
      <w:r>
        <w:rPr>
          <w:rFonts w:ascii="Times New Roman" w:hAnsi="Times New Roman"/>
          <w:b w:val="false"/>
          <w:i w:val="false"/>
          <w:color w:val="000000"/>
          <w:sz w:val="22"/>
        </w:rPr>
        <w:t> </w:t>
      </w:r>
      <w:r>
        <w:rPr>
          <w:rFonts w:ascii="Times New Roman" w:hAnsi="Times New Roman"/>
          <w:b w:val="false"/>
          <w:i w:val="false"/>
          <w:color w:val="000000"/>
          <w:sz w:val="22"/>
        </w:rPr>
        <w:t>means an interest-bearing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foster care supervision”</w:t>
      </w:r>
      <w:r>
        <w:rPr>
          <w:rFonts w:ascii="Times New Roman" w:hAnsi="Times New Roman"/>
          <w:b w:val="false"/>
          <w:i w:val="false"/>
          <w:color w:val="000000"/>
          <w:sz w:val="22"/>
        </w:rPr>
        <w:t> </w:t>
      </w:r>
      <w:r>
        <w:rPr>
          <w:rFonts w:ascii="Times New Roman" w:hAnsi="Times New Roman"/>
          <w:b w:val="false"/>
          <w:i w:val="false"/>
          <w:color w:val="000000"/>
          <w:sz w:val="22"/>
        </w:rPr>
        <w:t>means the support, assistance, and oversight provided by department caseworkers to children in family foster care and directed toward achievement of the child’s permanency plan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“Foster care”</w:t>
      </w:r>
      <w:r>
        <w:rPr>
          <w:rFonts w:ascii="Times New Roman" w:hAnsi="Times New Roman"/>
          <w:b w:val="false"/>
          <w:i w:val="false"/>
          <w:color w:val="000000"/>
          <w:sz w:val="22"/>
        </w:rPr>
        <w:t> </w:t>
      </w:r>
      <w:r>
        <w:rPr>
          <w:rFonts w:ascii="Times New Roman" w:hAnsi="Times New Roman"/>
          <w:b w:val="false"/>
          <w:i w:val="false"/>
          <w:color w:val="000000"/>
          <w:sz w:val="22"/>
        </w:rPr>
        <w:t>means substitute care furnished on a 24-hour-a-day basis to an eligible child in a licensed or approved facility by a person or agency other than the child’s parent or guardian but does not include care provided in a family home through an informal arrangement for a period of 20 days or less. Child foster care includes but is not limited to the provision of food, lodging, training, education, supervision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“Foster family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foster care provided by a foster family licensed by the department according to </w:t>
      </w:r>
      <w:hyperlink r:id="rId5">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approved by the department according to Iowa Code chapter </w:t>
      </w:r>
      <w:hyperlink r:id="rId6">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or licensed or approved by the placing state. The care includes the provision of food, lodging, clothing, transportation, recreation, and training that is appropriate for the child’s age and mental and physical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“Group care maintenance”</w:t>
      </w:r>
      <w:r>
        <w:rPr>
          <w:rFonts w:ascii="Times New Roman" w:hAnsi="Times New Roman"/>
          <w:b w:val="false"/>
          <w:i w:val="false"/>
          <w:color w:val="000000"/>
          <w:sz w:val="22"/>
        </w:rPr>
        <w:t> </w:t>
      </w:r>
      <w:r>
        <w:rPr>
          <w:rFonts w:ascii="Times New Roman" w:hAnsi="Times New Roman"/>
          <w:b w:val="false"/>
          <w:i w:val="false"/>
          <w:color w:val="000000"/>
          <w:sz w:val="22"/>
        </w:rPr>
        <w:t>means food, clothing, shelter, school supplies, personal incidentals, daily care, general parenting, discipline, and supervision of children to ensure their well-being and safety, and administration of maintenance items provided in a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w:t>
      </w:r>
      <w:r>
        <w:rPr>
          <w:rFonts w:ascii="Times New Roman" w:hAnsi="Times New Roman"/>
          <w:b w:val="false"/>
          <w:i w:val="false"/>
          <w:color w:val="000000"/>
          <w:sz w:val="22"/>
        </w:rPr>
        <w:t> </w:t>
      </w:r>
      <w:r>
        <w:rPr>
          <w:rFonts w:ascii="Times New Roman" w:hAnsi="Times New Roman"/>
          <w:b w:val="false"/>
          <w:i w:val="false"/>
          <w:color w:val="000000"/>
          <w:sz w:val="22"/>
        </w:rPr>
        <w:t>means earned and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“Inflation factor”</w:t>
      </w:r>
      <w:r>
        <w:rPr>
          <w:rFonts w:ascii="Times New Roman" w:hAnsi="Times New Roman"/>
          <w:b w:val="false"/>
          <w:i w:val="false"/>
          <w:color w:val="000000"/>
          <w:sz w:val="22"/>
        </w:rPr>
        <w:t> </w:t>
      </w:r>
      <w:r>
        <w:rPr>
          <w:rFonts w:ascii="Times New Roman" w:hAnsi="Times New Roman"/>
          <w:b w:val="false"/>
          <w:i w:val="false"/>
          <w:color w:val="000000"/>
          <w:sz w:val="22"/>
        </w:rPr>
        <w:t>means the amount by which the consumer price index for all urban consumers increased during the calendar year ending December 31 that preceded the contractor’s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“Intellectual disabilities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registered nurse, educator, social worker, physical or occupational therapist, speech therapist or audiologist who meets the educational requirements for the profession, as required in the state of Iowa, and has at least one year of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caregiver”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for this chapter only, a person to whom a child is related by blood, marriage, or adoption, or a person who has a significant, committed, positive relationship with the child, who is caring for a child in foster care pursuant to Iowa Code chapter </w:t>
      </w:r>
      <w:hyperlink r:id="rId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 approval”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authorization granted to the caregiver by the department to provide child foster care through an expedited process according to Iowa Code chapter </w:t>
      </w:r>
      <w:hyperlink r:id="rId8">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and allows the kinship caregiver to receive maximum financial support and to obtain the information and resources necessary to meet the needs of a child under a court-ordered placement with the kinship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the biological or adoptive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“Parental liability”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parent’s liability for the support of a child during the period of foster care placement. Liability is determined pursuant to </w:t>
      </w:r>
      <w:hyperlink r:id="rId9">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medical or osteopathic doctor as defined in Iowa Code section </w:t>
      </w:r>
      <w:hyperlink r:id="rId10">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“Prevailing rate”</w:t>
      </w:r>
      <w:r>
        <w:rPr>
          <w:rFonts w:ascii="Times New Roman" w:hAnsi="Times New Roman"/>
          <w:b w:val="false"/>
          <w:i w:val="false"/>
          <w:color w:val="000000"/>
          <w:sz w:val="22"/>
        </w:rPr>
        <w:t> </w:t>
      </w:r>
      <w:r>
        <w:rPr>
          <w:rFonts w:ascii="Times New Roman" w:hAnsi="Times New Roman"/>
          <w:b w:val="false"/>
          <w:i w:val="false"/>
          <w:color w:val="000000"/>
          <w:sz w:val="22"/>
        </w:rPr>
        <w:t>means the maximum combined service and maintenance reimbursement rate the department pays to contracted shelter care providers as authorized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 manager”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employee or designee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needs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child with needs for emotional care, behavioral care, or physical and personal care that require additional skills, knowledge, or responsibility on the part of the foster parents, as measured by Form 470-4401, Foster Child Behavioral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“Unearned income”</w:t>
      </w:r>
      <w:r>
        <w:rPr>
          <w:rFonts w:ascii="Times New Roman" w:hAnsi="Times New Roman"/>
          <w:b w:val="false"/>
          <w:i w:val="false"/>
          <w:color w:val="000000"/>
          <w:sz w:val="22"/>
        </w:rPr>
        <w:t> </w:t>
      </w:r>
      <w:r>
        <w:rPr>
          <w:rFonts w:ascii="Times New Roman" w:hAnsi="Times New Roman"/>
          <w:b w:val="false"/>
          <w:i w:val="false"/>
          <w:color w:val="000000"/>
          <w:sz w:val="22"/>
        </w:rPr>
        <w:t>means any income that is not earned income and includes supplemental security income (SSI) and other funds available to a child residing in a foster care placement.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441—156.2</w:t>
      </w:r>
      <w:r>
        <w:rPr>
          <w:rFonts w:ascii="Times New Roman" w:hAnsi="Times New Roman"/>
          <w:b/>
          <w:i w:val="false"/>
          <w:color w:val="000000"/>
          <w:sz w:val="22"/>
        </w:rPr>
        <w:t xml:space="preserve">(234) </w:t>
      </w:r>
      <w:r>
        <w:rPr>
          <w:rFonts w:ascii="Times New Roman" w:hAnsi="Times New Roman"/>
          <w:b/>
          <w:i w:val="false"/>
          <w:color w:val="000000"/>
          <w:sz w:val="22"/>
        </w:rPr>
        <w:t xml:space="preserve">Foster care recovery. </w:t>
      </w:r>
      <w:r>
        <w:rPr>
          <w:rFonts w:ascii="Times New Roman" w:hAnsi="Times New Roman"/>
          <w:b w:val="false"/>
          <w:i w:val="false"/>
          <w:color w:val="000000"/>
          <w:sz w:val="22"/>
        </w:rPr>
        <w:t xml:space="preserve">The department will recover the cost of foster care provided by the department pursuant to the rules in this chapter and the rules in </w:t>
      </w:r>
      <w:hyperlink r:id="rId12">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which establishes policies and procedures for the computation and collection of parental liability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val="false"/>
          <w:color w:val="000000"/>
          <w:sz w:val="22"/>
        </w:rPr>
        <w:t>Funds are to be applied to the cost of foster care in the following order and each source exhausted before utilizing the next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Parental liability of the noncustodial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liability of custodial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val="false"/>
          <w:color w:val="000000"/>
          <w:sz w:val="22"/>
        </w:rPr>
        <w:t>The department serves as payee to receive the child’s unearned income. When a parent or guardian is not available or is unwilling to do so, the department is responsible for applying for benefits on behalf of a child placed in the care of the department. Until the department becomes payee, the payee shall forward benefits to the department. For voluntary foster care placements of children aged 18 and over, the child is the payee for the unearned income. The child shall forward these benefits, up to the actual cost of foster care,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val="false"/>
          <w:color w:val="000000"/>
          <w:sz w:val="22"/>
        </w:rPr>
        <w:t>The custodial parent shall assign child support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val="false"/>
          <w:color w:val="000000"/>
          <w:sz w:val="22"/>
        </w:rPr>
        <w:t>Unearned income of a child and parental liability of the noncustodial parent is placed in an account from whence it is applied toward the cost of the child’s current foster care and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foster care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val="false"/>
          <w:color w:val="000000"/>
          <w:sz w:val="22"/>
        </w:rPr>
        <w:t>When the child leaves foster care, funds in escrow are paid to the custodial parent(s) or guardian or to the child when the child has attained the age of majority unless a guardian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val="false"/>
          <w:color w:val="000000"/>
          <w:sz w:val="22"/>
        </w:rPr>
        <w:t>When a child who has unearned income returns home after the first day of a month, the remaining portion of the unearned income (based on the number of days in the particular month) is made available to the child and the child’s parents, guardian or custodian, if the child is eligible for the unearned income while in the home of a parent, guardian or custodian.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441—156.3</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maintenance payment for 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156.3(1)</w:t>
      </w:r>
      <w:r>
        <w:rPr>
          <w:rFonts w:ascii="Times New Roman" w:hAnsi="Times New Roman"/>
          <w:b w:val="false"/>
          <w:i w:val="false"/>
          <w:color w:val="000000"/>
          <w:sz w:val="22"/>
        </w:rPr>
        <w:t> </w:t>
      </w:r>
      <w:r>
        <w:rPr>
          <w:rFonts w:ascii="Times New Roman" w:hAnsi="Times New Roman"/>
          <w:b w:val="false"/>
          <w:i/>
          <w:color w:val="000000"/>
          <w:sz w:val="22"/>
        </w:rPr>
        <w:t xml:space="preserve">Basic rate. </w:t>
      </w:r>
      <w:r>
        <w:rPr>
          <w:rFonts w:ascii="Times New Roman" w:hAnsi="Times New Roman"/>
          <w:b w:val="false"/>
          <w:i w:val="false"/>
          <w:color w:val="000000"/>
          <w:sz w:val="22"/>
        </w:rPr>
        <w:t xml:space="preserve">A monthly payment for care in a foster family home licensed in Iowa will be made to the foster family based on the following schedule: </w:t>
      </w:r>
    </w:p>
    <w:tbl>
      <w:tblPr>
        <w:tblW w:w="0" w:type="auto"/>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Age of child</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Daily rate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through 5</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$18.50</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through 11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$19.24</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 through 15</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$21.06</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 or over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$21.34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156.3(2)</w:t>
      </w:r>
      <w:r>
        <w:rPr>
          <w:rFonts w:ascii="Times New Roman" w:hAnsi="Times New Roman"/>
          <w:b w:val="false"/>
          <w:i w:val="false"/>
          <w:color w:val="000000"/>
          <w:sz w:val="22"/>
        </w:rPr>
        <w:t> </w:t>
      </w:r>
      <w:r>
        <w:rPr>
          <w:rFonts w:ascii="Times New Roman" w:hAnsi="Times New Roman"/>
          <w:b w:val="false"/>
          <w:i/>
          <w:color w:val="000000"/>
          <w:sz w:val="22"/>
        </w:rPr>
        <w:t xml:space="preserve">Out-of-state rate. </w:t>
      </w:r>
      <w:r>
        <w:rPr>
          <w:rFonts w:ascii="Times New Roman" w:hAnsi="Times New Roman"/>
          <w:b w:val="false"/>
          <w:i w:val="false"/>
          <w:color w:val="000000"/>
          <w:sz w:val="22"/>
        </w:rPr>
        <w:t>A monthly payment for care in a foster family home licensed or approved in another state will be made to the foster family based on the rate schedule in effect in Iowa, except that the service area manager or designee may authorize a payment to the foster family at the rate in effect in the other state if the child’s family lives in that state and the goal is to reunite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156.3(3)</w:t>
      </w:r>
      <w:r>
        <w:rPr>
          <w:rFonts w:ascii="Times New Roman" w:hAnsi="Times New Roman"/>
          <w:b w:val="false"/>
          <w:i w:val="false"/>
          <w:color w:val="000000"/>
          <w:sz w:val="22"/>
        </w:rPr>
        <w:t> </w:t>
      </w:r>
      <w:r>
        <w:rPr>
          <w:rFonts w:ascii="Times New Roman" w:hAnsi="Times New Roman"/>
          <w:b w:val="false"/>
          <w:i/>
          <w:color w:val="000000"/>
          <w:sz w:val="22"/>
        </w:rPr>
        <w:t xml:space="preserve">Mother and child in foster care. </w:t>
      </w:r>
      <w:r>
        <w:rPr>
          <w:rFonts w:ascii="Times New Roman" w:hAnsi="Times New Roman"/>
          <w:b w:val="false"/>
          <w:i w:val="false"/>
          <w:color w:val="000000"/>
          <w:sz w:val="22"/>
        </w:rPr>
        <w:t xml:space="preserve">When the child in foster care is a mother whose young child is in placement with her, the rate paid to the foster family is based on the daily rate for the mother according to the rate schedule in subrules </w:t>
      </w:r>
      <w:hyperlink r:id="rId14">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 xml:space="preserve"> and for the child according to the rate schedule in subrule </w:t>
      </w:r>
      <w:hyperlink r:id="rId16">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The foster parents shall provide a portion of the young child’s rate to the mother to meet the partial maintenance needs of the young child as defined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156.3(4)</w:t>
      </w:r>
      <w:r>
        <w:rPr>
          <w:rFonts w:ascii="Times New Roman" w:hAnsi="Times New Roman"/>
          <w:b w:val="false"/>
          <w:i w:val="false"/>
          <w:color w:val="000000"/>
          <w:sz w:val="22"/>
        </w:rPr>
        <w:t> </w:t>
      </w:r>
      <w:r>
        <w:rPr>
          <w:rFonts w:ascii="Times New Roman" w:hAnsi="Times New Roman"/>
          <w:b w:val="false"/>
          <w:i/>
          <w:color w:val="000000"/>
          <w:sz w:val="22"/>
        </w:rPr>
        <w:t xml:space="preserve">Kinship foster care. </w:t>
      </w:r>
      <w:r>
        <w:rPr>
          <w:rFonts w:ascii="Times New Roman" w:hAnsi="Times New Roman"/>
          <w:b w:val="false"/>
          <w:i w:val="false"/>
          <w:color w:val="000000"/>
          <w:sz w:val="22"/>
        </w:rPr>
        <w:t xml:space="preserve">When the child in foster care is court-ordered to placement with an approved kinship caregiver to provide child foster care, the rate paid to the approved kinship caregiver is based on the daily amount according to the rate schedule in subrule </w:t>
      </w:r>
      <w:hyperlink r:id="rId17">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foster family provides care to a sibling group of three or more children, an additional payment of $1 per day per child may be authorized for each nonspecial needs child in the sibling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foster family’s responsibilities in the case permanency plan include providing transportation related to family or preplacement visits outside the community in which the foster family lives, the department caseworker may authorize an additional maintenance payment of $1 per day. Expenses over the monthly amount may be reimbursed with prior approval by the department caseworker. Eligible expenses include the actual cost of the most reasonable passenger fare or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supervisor may approve an additional maintenance payment above the basic rate in subrule </w:t>
      </w:r>
      <w:hyperlink r:id="rId18">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to meet the child’s special needs as identified by the child’s score on Form 470-4401, Foster Child Behavioral Assessment. The department caseworker will complete Form 470-4401, Foster Child Behavioral Assessment, within 30 days of the child’s initial entry into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maintenance payments made under this paragraph can begin no earlier than the first day of the month following the month in which Form 470-4401, Foster Child Behavioral Assessment is completed and will be awarded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Behavioral needs rated at level 1 qualify for a payment of $4.81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needs rated at level 2 qualify for a payment of $9.62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needs rated at level 3 qualify for a payment of $14.44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child’s need for this difficulty of care maintenance payment using Form 470-4401, Foster Child Behavioral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the child’s behavior changes significantly;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child’s placement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termination of parental rights, in preparation for negotiating an adoption subsidy or pre-subsidy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a court hearing on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maintenance payments, including difficulty of care payments, are to be documented on Form 470-0716, Foster Family Placement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156.3(5)</w:t>
      </w:r>
      <w:r>
        <w:rPr>
          <w:rFonts w:ascii="Times New Roman" w:hAnsi="Times New Roman"/>
          <w:b w:val="false"/>
          <w:i w:val="false"/>
          <w:color w:val="000000"/>
          <w:sz w:val="22"/>
        </w:rPr>
        <w:t> </w:t>
      </w:r>
      <w:r>
        <w:rPr>
          <w:rFonts w:ascii="Times New Roman" w:hAnsi="Times New Roman"/>
          <w:b w:val="false"/>
          <w:i/>
          <w:color w:val="000000"/>
          <w:sz w:val="22"/>
        </w:rPr>
        <w:t xml:space="preserve">Payment method. </w:t>
      </w:r>
      <w:r>
        <w:rPr>
          <w:rFonts w:ascii="Times New Roman" w:hAnsi="Times New Roman"/>
          <w:b w:val="false"/>
          <w:i w:val="false"/>
          <w:color w:val="000000"/>
          <w:sz w:val="22"/>
        </w:rPr>
        <w:t>All foster family maintenance payments shall be made directly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156.3(6)</w:t>
      </w:r>
      <w:r>
        <w:rPr>
          <w:rFonts w:ascii="Times New Roman" w:hAnsi="Times New Roman"/>
          <w:b w:val="false"/>
          <w:i w:val="false"/>
          <w:color w:val="000000"/>
          <w:sz w:val="22"/>
        </w:rPr>
        <w:t> </w:t>
      </w:r>
      <w:r>
        <w:rPr>
          <w:rFonts w:ascii="Times New Roman" w:hAnsi="Times New Roman"/>
          <w:b w:val="false"/>
          <w:i/>
          <w:color w:val="000000"/>
          <w:sz w:val="22"/>
        </w:rPr>
        <w:t xml:space="preserve">Return of overpayments. </w:t>
      </w:r>
      <w:r>
        <w:rPr>
          <w:rFonts w:ascii="Times New Roman" w:hAnsi="Times New Roman"/>
          <w:b w:val="false"/>
          <w:i w:val="false"/>
          <w:color w:val="000000"/>
          <w:sz w:val="22"/>
        </w:rPr>
        <w:t>When a foster family has received payments in excess of those allowed under this chapter, the department caseworker shall ask the foster family to return the overpayment. If the foster family is returning the overpayment to the department, the department caseworker shall note the monthly amount the foster family agrees to pay in the family’s case file. The amount returned cannot be less than $50 per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441—156.4</w:t>
      </w:r>
      <w:r>
        <w:rPr>
          <w:rFonts w:ascii="Times New Roman" w:hAnsi="Times New Roman"/>
          <w:b/>
          <w:i w:val="false"/>
          <w:color w:val="000000"/>
          <w:sz w:val="22"/>
        </w:rPr>
        <w:t xml:space="preserve">(234) </w:t>
      </w:r>
      <w:r>
        <w:rPr>
          <w:rFonts w:ascii="Times New Roman" w:hAnsi="Times New Roman"/>
          <w:b/>
          <w:i w:val="false"/>
          <w:color w:val="000000"/>
          <w:sz w:val="22"/>
        </w:rPr>
        <w:t xml:space="preserve">Kinship caregiver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val="false"/>
          <w:color w:val="000000"/>
          <w:sz w:val="22"/>
        </w:rPr>
        <w:t xml:space="preserve"> A kinship caregiver payment is a monthly payment to financially support the care of a child in a kinship caregiver’s home. If approved by the department, kinship caregiver payment will be provided for a period of up to four months.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val="false"/>
          <w:color w:val="000000"/>
          <w:sz w:val="22"/>
        </w:rPr>
        <w:t xml:space="preserve"> All of the following conditions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For each eligible child living in a kinship placement, a caregiver will receive a monthly payment according to the basic rate schedule in subrule </w:t>
      </w:r>
      <w:hyperlink r:id="rId21">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as a result of a court-ordered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payment will begin after 14 days of the child’s placement in the kinship caregiver’s home. The 14-day requirement is waived if the child enters the kinship caregiver’s home immediately following a paid placement for at least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payment will continue for up to four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The kinship caregiver payment will be terminated if the child no longer resides in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Kinship caregivers who receive a foster care payment are not eligible to receive a kinship caregiver payment.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2">
        <w:r>
          <w:rPr>
            <w:rStyle w:val="Hyperlink"/>
            <w:rFonts w:ascii="Times New Roman" w:hAnsi="Times New Roman"/>
            <w:b w:val="false"/>
            <w:i w:val="false"/>
            <w:color w:val="000000"/>
            <w:sz w:val="22"/>
          </w:rPr>
          <w:t>232.102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441—156.5</w:t>
      </w:r>
      <w:r>
        <w:rPr>
          <w:rFonts w:ascii="Times New Roman" w:hAnsi="Times New Roman"/>
          <w:b/>
          <w:i w:val="false"/>
          <w:color w:val="000000"/>
          <w:sz w:val="22"/>
        </w:rPr>
        <w:t xml:space="preserve">(234) </w:t>
      </w:r>
      <w:r>
        <w:rPr>
          <w:rFonts w:ascii="Times New Roman" w:hAnsi="Times New Roman"/>
          <w:b/>
          <w:i w:val="false"/>
          <w:color w:val="000000"/>
          <w:sz w:val="22"/>
        </w:rPr>
        <w:t xml:space="preserve">Additional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color w:val="000000"/>
          <w:sz w:val="22"/>
        </w:rPr>
        <w:t xml:space="preserve">Clothing allowance.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in the judgment of the department caseworker, clothing is needed at the time the child is removed from the child’s home and placed in foster care and annually thereafter as needed based on the date the child entered foster care, an allowance may be authorized, not to exceed $500 for the child through the age of 12 and $750 for the child aged 13 and older, to purchase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clothing is purchased by the foster family, the foster family shall submit receipts to the department caseworker within 30 days of purchase for auditing purposes, using Form 470-1952, Foster Care Clothing 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color w:val="000000"/>
          <w:sz w:val="22"/>
        </w:rPr>
        <w:t xml:space="preserve">Supervised apartment living. </w:t>
      </w:r>
      <w:r>
        <w:rPr>
          <w:rFonts w:ascii="Times New Roman" w:hAnsi="Times New Roman"/>
          <w:b w:val="false"/>
          <w:i w:val="false"/>
          <w:color w:val="000000"/>
          <w:sz w:val="22"/>
        </w:rPr>
        <w:t>When a child is initially placed in supervised apartment living, the service area manager or designee may authorize an allowance not to exceed $630 if the child does not have sufficient resources to cover initial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156.5(3)</w:t>
      </w:r>
      <w:r>
        <w:rPr>
          <w:rFonts w:ascii="Times New Roman" w:hAnsi="Times New Roman"/>
          <w:b w:val="false"/>
          <w:i w:val="false"/>
          <w:color w:val="000000"/>
          <w:sz w:val="22"/>
        </w:rPr>
        <w:t> </w:t>
      </w:r>
      <w:r>
        <w:rPr>
          <w:rFonts w:ascii="Times New Roman" w:hAnsi="Times New Roman"/>
          <w:b w:val="false"/>
          <w:i/>
          <w:color w:val="000000"/>
          <w:sz w:val="22"/>
        </w:rPr>
        <w:t xml:space="preserve">Medical care. </w:t>
      </w:r>
      <w:r>
        <w:rPr>
          <w:rFonts w:ascii="Times New Roman" w:hAnsi="Times New Roman"/>
          <w:b w:val="false"/>
          <w:i w:val="false"/>
          <w:color w:val="000000"/>
          <w:sz w:val="22"/>
        </w:rPr>
        <w:t>When a child in foster care needs medical care or examinations that are not covered by the Medicaid program and no other source of payment is available, the cost may be paid from foster care funds with the approval of the service area manager or designee. Eligible costs include emergency room care, medical treatment by out-of-state providers who refuse to participate in the Iowa Medicaid program, and excessive expenses for nonprescription drugs or supplies. Requests for payment for out-of-state medical treatment and for nonprescription drugs or supplies shall be approved prior to the care being provided or the drugs or supplies purchased. Claims shall be submitted to the department on Form GAX, General Accounting Expenditure, within 90 days after the service is provided. The rate of payment will be the same as allowed under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medical care. </w:t>
      </w:r>
      <w:r>
        <w:rPr>
          <w:rFonts w:ascii="Times New Roman" w:hAnsi="Times New Roman"/>
          <w:b w:val="false"/>
          <w:i w:val="false"/>
          <w:color w:val="000000"/>
          <w:sz w:val="22"/>
        </w:rPr>
        <w:t>When a child in foster family care has expenses for transportation to receive medical care that cannot be covered by the Medicaid program, the expenses may be paid from foster care funds, with the approval of the service area manager. The claim for all the expenses shall be submitted to the department on Form GAX, General Accounting Expenditure, within 90 days after the trip. This payment cannot duplicate or supplement payment through the Medicaid program. The expenses may include the actual cost of meals, parking, child care, lodging, passenger fare, or mileage at the rate granted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156.5(5)</w:t>
      </w:r>
      <w:r>
        <w:rPr>
          <w:rFonts w:ascii="Times New Roman" w:hAnsi="Times New Roman"/>
          <w:b w:val="false"/>
          <w:i w:val="false"/>
          <w:color w:val="000000"/>
          <w:sz w:val="22"/>
        </w:rPr>
        <w:t> </w:t>
      </w:r>
      <w:r>
        <w:rPr>
          <w:rFonts w:ascii="Times New Roman" w:hAnsi="Times New Roman"/>
          <w:b w:val="false"/>
          <w:i/>
          <w:color w:val="000000"/>
          <w:sz w:val="22"/>
        </w:rPr>
        <w:t xml:space="preserve">Funeral expense. </w:t>
      </w:r>
      <w:r>
        <w:rPr>
          <w:rFonts w:ascii="Times New Roman" w:hAnsi="Times New Roman"/>
          <w:b w:val="false"/>
          <w:i w:val="false"/>
          <w:color w:val="000000"/>
          <w:sz w:val="22"/>
        </w:rPr>
        <w:t>When a child under the guardianship of the department dies, the department will pay funeral expenses not covered by the child’s resources, insurance or other death benefits, the child’s legal parents, or the child’s county of legal settlement, not to exceed $650. The claim shall be submitted by the funeral director to the department on Form GAX, General Accounting Expenditure, and approved by the service area manager. Claims shall be submitted within 90 days after the child’s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156.5(6)</w:t>
      </w:r>
      <w:r>
        <w:rPr>
          <w:rFonts w:ascii="Times New Roman" w:hAnsi="Times New Roman"/>
          <w:b w:val="false"/>
          <w:i w:val="false"/>
          <w:color w:val="000000"/>
          <w:sz w:val="22"/>
        </w:rPr>
        <w:t> </w:t>
      </w:r>
      <w:r>
        <w:rPr>
          <w:rFonts w:ascii="Times New Roman" w:hAnsi="Times New Roman"/>
          <w:b w:val="false"/>
          <w:i/>
          <w:color w:val="000000"/>
          <w:sz w:val="22"/>
        </w:rPr>
        <w:t xml:space="preserve">School fees. </w:t>
      </w:r>
      <w:r>
        <w:rPr>
          <w:rFonts w:ascii="Times New Roman" w:hAnsi="Times New Roman"/>
          <w:b w:val="false"/>
          <w:i w:val="false"/>
          <w:color w:val="000000"/>
          <w:sz w:val="22"/>
        </w:rPr>
        <w:t>Payment for required school fees of a child in foster family care or supervised apartment living that exceeds $5 may be authorized by the department caseworker in an amount not to exceed $50 per calendar year if the child does not have sufficient escrow funds to cover the cost. Required school fees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required for participation in school or extracurricular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related to enrolling a child in preschool when a mental health professional or an intellectual disabilities professional has recommended 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156.5(7)</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 xml:space="preserve">Respite care for a child in family foster care shall be for up to 24 days per calendar year per placement. Except for a certified respite provider, respite shall be provided by a licensed foster family. The payment rate to the respite foster family is the rate authorized under rule </w:t>
      </w:r>
      <w:hyperlink r:id="rId23">
        <w:r>
          <w:rPr>
            <w:rStyle w:val="Hyperlink"/>
            <w:rFonts w:ascii="Times New Roman" w:hAnsi="Times New Roman"/>
            <w:b w:val="false"/>
            <w:i w:val="false"/>
            <w:color w:val="000000"/>
            <w:sz w:val="22"/>
          </w:rPr>
          <w:t>441—156.6(234)</w:t>
        </w:r>
      </w:hyperlink>
      <w:r>
        <w:rPr>
          <w:rFonts w:ascii="Times New Roman" w:hAnsi="Times New Roman"/>
          <w:b w:val="false"/>
          <w:i w:val="false"/>
          <w:color w:val="000000"/>
          <w:sz w:val="22"/>
        </w:rPr>
        <w:t xml:space="preserve"> to meet the needs of the child. Certified respite providers deliver foster child respite services in the foster family home for at least five hours a day at $20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156.5(8)</w:t>
      </w:r>
      <w:r>
        <w:rPr>
          <w:rFonts w:ascii="Times New Roman" w:hAnsi="Times New Roman"/>
          <w:b w:val="false"/>
          <w:i w:val="false"/>
          <w:color w:val="000000"/>
          <w:sz w:val="22"/>
        </w:rPr>
        <w:t> </w:t>
      </w:r>
      <w:r>
        <w:rPr>
          <w:rFonts w:ascii="Times New Roman" w:hAnsi="Times New Roman"/>
          <w:b w:val="false"/>
          <w:i/>
          <w:color w:val="000000"/>
          <w:sz w:val="22"/>
        </w:rPr>
        <w:t xml:space="preserve">Tangible goods, child care, and ancillary services. </w:t>
      </w:r>
      <w:r>
        <w:rPr>
          <w:rFonts w:ascii="Times New Roman" w:hAnsi="Times New Roman"/>
          <w:b w:val="false"/>
          <w:i w:val="false"/>
          <w:color w:val="000000"/>
          <w:sz w:val="22"/>
        </w:rPr>
        <w:t>To the extent that a foster child’s escrow funds are not available, the service area manager or designee may authorize reimbursement to foster parents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Tangible goods for a special needs child, including but not limited to building modifications, medical equipment not covered by Medicaid, specialized educational materials not covered by educational funds, and communication devices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care services when the foster parents are working, the child is not in school, and the provision of child care is identified in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care services shall be provided by a licensed foster parent or a licensed or registered child care provider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foster parents elect to become child care providers, they shall be registered pursuant to </w:t>
      </w:r>
      <w:hyperlink r:id="rId24">
        <w:r>
          <w:rPr>
            <w:rStyle w:val="Hyperlink"/>
            <w:rFonts w:ascii="Times New Roman" w:hAnsi="Times New Roman"/>
            <w:b w:val="false"/>
            <w:i w:val="false"/>
            <w:color w:val="000000"/>
            <w:sz w:val="22"/>
          </w:rPr>
          <w:t>441—Chapter 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foster parent to meet the needs of a special needs child, including but not limited to specialized classes when directed by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Ancillary services needed by the special needs child, including but not limited to recreation fees, in-home tutoring and specialized classes not covered by education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tangible goods, child care, and ancillary services shall be submitted to the service area manager for approval on Form 470-3056, Request for Tangible Goods, Child Care, and Ancillary Services. Payment rates for tangible goods and ancillary services will be comparable to prevailing community standards. Payment rates for child care are established pursuant to </w:t>
      </w:r>
      <w:hyperlink r:id="rId25">
        <w:r>
          <w:rPr>
            <w:rStyle w:val="Hyperlink"/>
            <w:rFonts w:ascii="Times New Roman" w:hAnsi="Times New Roman"/>
            <w:b w:val="false"/>
            <w:i w:val="false"/>
            <w:color w:val="000000"/>
            <w:sz w:val="22"/>
          </w:rPr>
          <w:t>441—subrule 170.4(7)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payment authorization will be issued by the service area manager before tangible goods, child care, and ancillary services are purchased by or for foster parents.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441—156.6</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payment for foster group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In-state reimbursement. </w:t>
      </w:r>
      <w:r>
        <w:rPr>
          <w:rFonts w:ascii="Times New Roman" w:hAnsi="Times New Roman"/>
          <w:b w:val="false"/>
          <w:i w:val="false"/>
          <w:color w:val="000000"/>
          <w:sz w:val="22"/>
        </w:rPr>
        <w:t>Contracted foster group care facilities licensed or approved in the state of Iowa will be paid for group care maintenance and child welfare services in accordance with contracted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payment for group care maintenance may be authorized if a facility provides care for a mother and her young child according to subrule </w:t>
      </w:r>
      <w:hyperlink r:id="rId27">
        <w:r>
          <w:rPr>
            <w:rStyle w:val="Hyperlink"/>
            <w:rFonts w:ascii="Times New Roman" w:hAnsi="Times New Roman"/>
            <w:b w:val="false"/>
            <w:i w:val="false"/>
            <w:color w:val="000000"/>
            <w:sz w:val="22"/>
          </w:rPr>
          <w:t>156.9(4)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less than annually, the department will redetermine the allocation of the combined child welfare service per diem rate between the maintenance and service portions plus the inflation factor based on review of the verified Form 470-5421, Combined Cost Report.  If the new allocation differs from the current allocation,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Reallocate the combined child welfare service per diem for foster group care between the maintenance and service portions plus the inflation factor of the combined 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all providers of any change in the allocation between maintenance and service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Out-of-state group care payment rate. </w:t>
      </w:r>
      <w:r>
        <w:rPr>
          <w:rFonts w:ascii="Times New Roman" w:hAnsi="Times New Roman"/>
          <w:b w:val="false"/>
          <w:i w:val="false"/>
          <w:color w:val="000000"/>
          <w:sz w:val="22"/>
        </w:rPr>
        <w:t>When the department determines that appropriate care is not available in Iowa and a licensed or approved contractor outside Iowa is used, the payment rate for contracted foster group care services will be the Iowa rate unless the director grants an exception. The rate cannot exceed the rate paid for clients from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When determining whether appropriate care is available within the state, the director will consider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child’s treatment needs are exceptional.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appropriate in-state alternatives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an appropriate in-state alternative could be developed by using juvenile court-ordered service funds or wrap-around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placement and additional payment are expected to be time-limited with anticipated outcomes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placement has been approved by the service area manager or chief juvenile court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service area manager or chief juvenile court officer will submit the request for director’s exception to the department. This request will be made in advance of placing the child and should allow a minimum of two weeks for a response. The request should contain documentation addressing the criteria for director’s approval listed in paragraph </w:t>
      </w:r>
      <w:hyperlink r:id="rId28">
        <w:r>
          <w:rPr>
            <w:rStyle w:val="Hyperlink"/>
            <w:rFonts w:ascii="Times New Roman" w:hAnsi="Times New Roman"/>
            <w:b w:val="false"/>
            <w:i w:val="false"/>
            <w:color w:val="000000"/>
            <w:sz w:val="22"/>
          </w:rPr>
          <w:t>156.6(3)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color w:val="000000"/>
          <w:sz w:val="22"/>
        </w:rPr>
        <w:t xml:space="preserve">Mother-young child rate. </w:t>
      </w:r>
      <w:r>
        <w:rPr>
          <w:rFonts w:ascii="Times New Roman" w:hAnsi="Times New Roman"/>
          <w:b w:val="false"/>
          <w:i w:val="false"/>
          <w:color w:val="000000"/>
          <w:sz w:val="22"/>
        </w:rPr>
        <w:t>When a group foster care facility provides foster care for a mother and her young child, an additional maintenance rate will cover the maintenance needs of the young child. No additional amount is allowed for service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rate is set in the provider contract. The young child maintenance rate is limited to the costs associated with food, clothing, shelter, personal incidentals, and supervision for each young child and cannot exceed the maintenance rate for the mother. Costs for day care cannot be included in the maintenance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court has transferred custody from the mother, the mother shall have primary responsibility for providing supervision and parenting for the young child. The facility shall provide services to the mother to assist her to meet her parenting responsibilities and monitor her care of the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provide services to the mother to assist her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high school diploma or high school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preemployment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paternity for her young child whenever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child support for the young child whenever paternity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information in the mother’s file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mother’s parents or of other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father of the minor’s child, including steps taken to establish paternity,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of the minor to keep and raise her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for the minor’s completion of high school or a high school equivalency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parenting skills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care and transportation plans for education,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health care of the mother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services as needed to address personal or family problems or to facilitate the personal growth and development toward economic self-sufficiency of the minor parent and young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designates $35 of the young child rate as an allowance to the mother to meet the maintenance needs of her young child, as defined in her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441—156.7</w:t>
      </w:r>
      <w:r>
        <w:rPr>
          <w:rFonts w:ascii="Times New Roman" w:hAnsi="Times New Roman"/>
          <w:b/>
          <w:i w:val="false"/>
          <w:color w:val="000000"/>
          <w:sz w:val="22"/>
        </w:rPr>
        <w:t xml:space="preserve">(234) </w:t>
      </w:r>
      <w:r>
        <w:rPr>
          <w:rFonts w:ascii="Times New Roman" w:hAnsi="Times New Roman"/>
          <w:b/>
          <w:i w:val="false"/>
          <w:color w:val="000000"/>
          <w:sz w:val="22"/>
        </w:rPr>
        <w:t xml:space="preserve">Payment for reserve bed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color w:val="000000"/>
          <w:sz w:val="22"/>
        </w:rPr>
        <w:t xml:space="preserve">Group care facilities. </w:t>
      </w:r>
      <w:r>
        <w:rPr>
          <w:rFonts w:ascii="Times New Roman" w:hAnsi="Times New Roman"/>
          <w:b w:val="false"/>
          <w:i w:val="false"/>
          <w:color w:val="000000"/>
          <w:sz w:val="22"/>
        </w:rPr>
        <w:t>The department will provide payment for group care maintenance and child welfare services according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will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14 consecutive days, except upon prior written approval of the service area manager. In no case can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will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shall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14 consecutive days, except upon prior written approval of the service area manager. In no case can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will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14 consecutive days, except upon prior written approval of the service area manager. In no case will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will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will be made for days a foster child is absent from the foster family home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will be for the child to return to the foster family home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14 consecutive days, except upon prior written approval of the service area manager. In no case will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will be made for days a foster child is absent from the foster family home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will be for the child to return to the foster family home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14 consecutive days, except upon prior written approval of the service area manager. In no case shall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will be made for days a foster child is absent from the foster family home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foster family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will be for the child to return to the foster family home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foster family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foster family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cannot exceed 14 consecutive days, except upon prior written approval of the service area manager. In no case will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will be made when a foster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foster family home will be for the child to return to the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 shall be returned if the foster family home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cannot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156.7(3)</w:t>
      </w:r>
      <w:r>
        <w:rPr>
          <w:rFonts w:ascii="Times New Roman" w:hAnsi="Times New Roman"/>
          <w:b w:val="false"/>
          <w:i w:val="false"/>
          <w:color w:val="000000"/>
          <w:sz w:val="22"/>
        </w:rPr>
        <w:t> </w:t>
      </w:r>
      <w:r>
        <w:rPr>
          <w:rFonts w:ascii="Times New Roman" w:hAnsi="Times New Roman"/>
          <w:b w:val="false"/>
          <w:i/>
          <w:color w:val="000000"/>
          <w:sz w:val="22"/>
        </w:rPr>
        <w:t xml:space="preserve">Shelter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Hospitalization. </w:t>
      </w:r>
      <w:r>
        <w:rPr>
          <w:rFonts w:ascii="Times New Roman" w:hAnsi="Times New Roman"/>
          <w:b w:val="false"/>
          <w:i w:val="false"/>
          <w:color w:val="000000"/>
          <w:sz w:val="22"/>
        </w:rPr>
        <w:t>Reserve bed payment will be made for days a child is absent from the facility for hospitalization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contact the department caseworker at least 48 hours in advance of a planned hospitalization and within 24 hours after an unplanned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 after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department and the facility agree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cannot exceed 14 consecutive days, except upon prior written approval of the service area manager. In no case will payment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Reserve bed payment will be made when a child is making a planned preplacement visit to another foster care placement or an adoptive placement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provider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not exceed two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Family visits. </w:t>
      </w:r>
      <w:r>
        <w:rPr>
          <w:rFonts w:ascii="Times New Roman" w:hAnsi="Times New Roman"/>
          <w:b w:val="false"/>
          <w:i w:val="false"/>
          <w:color w:val="000000"/>
          <w:sz w:val="22"/>
        </w:rPr>
        <w:t>Reserve bed payment will be made for days a child is absent from the facility for family visits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visits shall be consistent with the child’s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of each visit and its planned length prior to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from the facility shall be available to provide support to the child and family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cannot exceed seven consecutive days, except upon prior written approval of the service area manager. In no case will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Runaways. </w:t>
      </w:r>
      <w:r>
        <w:rPr>
          <w:rFonts w:ascii="Times New Roman" w:hAnsi="Times New Roman"/>
          <w:b w:val="false"/>
          <w:i w:val="false"/>
          <w:color w:val="000000"/>
          <w:sz w:val="22"/>
        </w:rPr>
        <w:t>Reserve bed payment will be made for days a child is absent from the facility after the child has run away when the absence is in accord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caseworker within 24 hours after the child runs away.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intent of the department and the facility will be for the child to return to the facility once the child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and payments shall be returned if the facility refuses to accept the child 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agrees that the return would not be in the child’s best interest, payment will be canceled effective the day after the joint decision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will be canceled effective the day after a decision is made by the court or parent in a voluntary placement not to return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Payment cannot exceed seven consecutive days, except upon prior written approval of the service area manager. In no case can payment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document the use of reserve bed days in the daily log and report the number of reserve bed days claimed in the quarterly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441—156.8</w:t>
      </w:r>
      <w:r>
        <w:rPr>
          <w:rFonts w:ascii="Times New Roman" w:hAnsi="Times New Roman"/>
          <w:b/>
          <w:i w:val="false"/>
          <w:color w:val="000000"/>
          <w:sz w:val="22"/>
        </w:rPr>
        <w:t xml:space="preserve">(234) </w:t>
      </w:r>
      <w:r>
        <w:rPr>
          <w:rFonts w:ascii="Times New Roman" w:hAnsi="Times New Roman"/>
          <w:b/>
          <w:i w:val="false"/>
          <w:color w:val="000000"/>
          <w:sz w:val="22"/>
        </w:rPr>
        <w:t xml:space="preserve">Emergency juvenile shelter care payment. </w:t>
      </w:r>
      <w:r>
        <w:rPr>
          <w:rFonts w:ascii="Times New Roman" w:hAnsi="Times New Roman"/>
          <w:b w:val="false"/>
          <w:i w:val="false"/>
          <w:color w:val="000000"/>
          <w:sz w:val="22"/>
        </w:rPr>
        <w:t xml:space="preserve">Contracted juvenile shelter care facilities approved or licensed in Iowa will be paid in accordance with contracted terms, not to exceed the allowable costs as permitted by Iowa Code section </w:t>
      </w:r>
      <w:hyperlink r:id="rId33">
        <w:r>
          <w:rPr>
            <w:rStyle w:val="Hyperlink"/>
            <w:rFonts w:ascii="Times New Roman" w:hAnsi="Times New Roman"/>
            <w:b w:val="false"/>
            <w:i w:val="false"/>
            <w:color w:val="000000"/>
            <w:sz w:val="22"/>
          </w:rPr>
          <w:t>232.141(8)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441—156.9</w:t>
      </w:r>
      <w:r>
        <w:rPr>
          <w:rFonts w:ascii="Times New Roman" w:hAnsi="Times New Roman"/>
          <w:b/>
          <w:i w:val="false"/>
          <w:color w:val="000000"/>
          <w:sz w:val="22"/>
        </w:rPr>
        <w:t xml:space="preserve">(234) </w:t>
      </w:r>
      <w:r>
        <w:rPr>
          <w:rFonts w:ascii="Times New Roman" w:hAnsi="Times New Roman"/>
          <w:b/>
          <w:i w:val="false"/>
          <w:color w:val="000000"/>
          <w:sz w:val="22"/>
        </w:rPr>
        <w:t xml:space="preserve">Supervised apartment living.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156.9(1)</w:t>
      </w:r>
      <w:r>
        <w:rPr>
          <w:rFonts w:ascii="Times New Roman" w:hAnsi="Times New Roman"/>
          <w:b w:val="false"/>
          <w:i w:val="false"/>
          <w:color w:val="000000"/>
          <w:sz w:val="22"/>
        </w:rPr>
        <w:t> </w:t>
      </w:r>
      <w:r>
        <w:rPr>
          <w:rFonts w:ascii="Times New Roman" w:hAnsi="Times New Roman"/>
          <w:b w:val="false"/>
          <w:i/>
          <w:color w:val="000000"/>
          <w:sz w:val="22"/>
        </w:rPr>
        <w:t xml:space="preserve">Child monthly stipend. </w:t>
      </w:r>
      <w:r>
        <w:rPr>
          <w:rFonts w:ascii="Times New Roman" w:hAnsi="Times New Roman"/>
          <w:b w:val="false"/>
          <w:i w:val="false"/>
          <w:color w:val="000000"/>
          <w:sz w:val="22"/>
        </w:rPr>
        <w:t>For each eligible child living in a supervised apartment living situation, the monthly stipend payment for the child is $787.50. This payment may be paid to the child or another payee, other than a department employee, for the child’s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156.9(2)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When services for a youth in supervised apartment living are purchased, the service components and any special provisions shall be specified by the service worker in the youth’s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441—156.10</w:t>
      </w:r>
      <w:r>
        <w:rPr>
          <w:rFonts w:ascii="Times New Roman" w:hAnsi="Times New Roman"/>
          <w:b/>
          <w:i w:val="false"/>
          <w:color w:val="000000"/>
          <w:sz w:val="22"/>
        </w:rPr>
        <w:t xml:space="preserve">(234,252C) </w:t>
      </w:r>
      <w:r>
        <w:rPr>
          <w:rFonts w:ascii="Times New Roman" w:hAnsi="Times New Roman"/>
          <w:b/>
          <w:i w:val="false"/>
          <w:color w:val="000000"/>
          <w:sz w:val="22"/>
        </w:rPr>
        <w:t xml:space="preserve">Voluntary placements. </w:t>
      </w:r>
      <w:r>
        <w:rPr>
          <w:rFonts w:ascii="Times New Roman" w:hAnsi="Times New Roman"/>
          <w:b w:val="false"/>
          <w:i w:val="false"/>
          <w:color w:val="000000"/>
          <w:sz w:val="22"/>
        </w:rPr>
        <w:t>When placement is made on a voluntary basis, the parent or guardian shall complete and sign Form 470-0715, Voluntary Placement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441—156.11</w:t>
      </w:r>
      <w:r>
        <w:rPr>
          <w:rFonts w:ascii="Times New Roman" w:hAnsi="Times New Roman"/>
          <w:b/>
          <w:i w:val="false"/>
          <w:color w:val="000000"/>
          <w:sz w:val="22"/>
        </w:rPr>
        <w:t xml:space="preserve">(234) </w:t>
      </w:r>
      <w:r>
        <w:rPr>
          <w:rFonts w:ascii="Times New Roman" w:hAnsi="Times New Roman"/>
          <w:b/>
          <w:i w:val="false"/>
          <w:color w:val="000000"/>
          <w:sz w:val="22"/>
        </w:rPr>
        <w:t xml:space="preserve">Child’s earnings. </w:t>
      </w:r>
      <w:r>
        <w:rPr>
          <w:rFonts w:ascii="Times New Roman" w:hAnsi="Times New Roman"/>
          <w:b w:val="false"/>
          <w:i w:val="false"/>
          <w:color w:val="000000"/>
          <w:sz w:val="22"/>
        </w:rPr>
        <w:t>Earned income of a child who is in foster care shall be reported to the department, and the earned income’s use shall be part of the child’s plan for service, but the income cannot be used towards the cost of the child’s care as established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441—156.12</w:t>
      </w:r>
      <w:r>
        <w:rPr>
          <w:rFonts w:ascii="Times New Roman" w:hAnsi="Times New Roman"/>
          <w:b/>
          <w:i w:val="false"/>
          <w:color w:val="000000"/>
          <w:sz w:val="22"/>
        </w:rPr>
        <w:t xml:space="preserve">(234) </w:t>
      </w:r>
      <w:r>
        <w:rPr>
          <w:rFonts w:ascii="Times New Roman" w:hAnsi="Times New Roman"/>
          <w:b/>
          <w:i w:val="false"/>
          <w:color w:val="000000"/>
          <w:sz w:val="22"/>
        </w:rPr>
        <w:t xml:space="preserve">Trust funds and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156.12(1)</w:t>
      </w:r>
      <w:r>
        <w:rPr>
          <w:rFonts w:ascii="Times New Roman" w:hAnsi="Times New Roman"/>
          <w:b w:val="false"/>
          <w:i w:val="false"/>
          <w:color w:val="000000"/>
          <w:sz w:val="22"/>
        </w:rPr>
        <w:t> </w:t>
      </w:r>
      <w:r>
        <w:rPr>
          <w:rFonts w:ascii="Times New Roman" w:hAnsi="Times New Roman"/>
          <w:b w:val="false"/>
          <w:i w:val="false"/>
          <w:color w:val="000000"/>
          <w:sz w:val="22"/>
        </w:rPr>
        <w:t>When the child is a beneficiary of a trust and the proceeds therefrom are not currently available, or are not sufficient to meet the child’s needs, the worker will assist the child in having a petition presented to the court requesting release of funds to help meet current requirements. When the child and responsible adult cooperate in necessary action to obtain a ruling of the court, income cannot be considered available until the decision of the court has been rendered and implemented. When the child and responsible adult do not cooperate in the action necessary to obtain a ruling of the court, the trust fund or investments will be considered as available to meet the child’s needs immediately. When the child or responsible adult does not cooperate within 90 days in making the income available, the maintenance payment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156.12(2)</w:t>
      </w:r>
      <w:r>
        <w:rPr>
          <w:rFonts w:ascii="Times New Roman" w:hAnsi="Times New Roman"/>
          <w:b w:val="false"/>
          <w:i w:val="false"/>
          <w:color w:val="000000"/>
          <w:sz w:val="22"/>
        </w:rPr>
        <w:t> </w:t>
      </w:r>
      <w:r>
        <w:rPr>
          <w:rFonts w:ascii="Times New Roman" w:hAnsi="Times New Roman"/>
          <w:b w:val="false"/>
          <w:i w:val="false"/>
          <w:color w:val="000000"/>
          <w:sz w:val="22"/>
        </w:rPr>
        <w:t>The department is the payee for income from any trust funds or investments unless limited by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156.12(3)</w:t>
      </w:r>
      <w:r>
        <w:rPr>
          <w:rFonts w:ascii="Times New Roman" w:hAnsi="Times New Roman"/>
          <w:b w:val="false"/>
          <w:i w:val="false"/>
          <w:color w:val="000000"/>
          <w:sz w:val="22"/>
        </w:rPr>
        <w:t> </w:t>
      </w:r>
      <w:r>
        <w:rPr>
          <w:rFonts w:ascii="Times New Roman" w:hAnsi="Times New Roman"/>
          <w:b w:val="false"/>
          <w:i w:val="false"/>
          <w:color w:val="000000"/>
          <w:sz w:val="22"/>
        </w:rPr>
        <w:t>Savings accounts from any income and proceeds from the liquidation of securities shall be placed in the child’s account maintained by the department and any amount in excess of $1,500 is applied towards cost of the child’s maintenance.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441—156.13</w:t>
      </w:r>
      <w:r>
        <w:rPr>
          <w:rFonts w:ascii="Times New Roman" w:hAnsi="Times New Roman"/>
          <w:b/>
          <w:i w:val="false"/>
          <w:color w:val="000000"/>
          <w:sz w:val="22"/>
        </w:rPr>
        <w:t xml:space="preserve">(234) </w:t>
      </w:r>
      <w:r>
        <w:rPr>
          <w:rFonts w:ascii="Times New Roman" w:hAnsi="Times New Roman"/>
          <w:b/>
          <w:i w:val="false"/>
          <w:color w:val="000000"/>
          <w:sz w:val="22"/>
        </w:rPr>
        <w:t xml:space="preserve">Preadoptive homes. </w:t>
      </w:r>
      <w:r>
        <w:rPr>
          <w:rFonts w:ascii="Times New Roman" w:hAnsi="Times New Roman"/>
          <w:b w:val="false"/>
          <w:i w:val="false"/>
          <w:color w:val="000000"/>
          <w:sz w:val="22"/>
        </w:rPr>
        <w:t xml:space="preserve">Payment for a foster child placed in a preadoptive home is limited to the amount negotiated pursuant to rule </w:t>
      </w:r>
      <w:hyperlink r:id="rId40">
        <w:r>
          <w:rPr>
            <w:rStyle w:val="Hyperlink"/>
            <w:rFonts w:ascii="Times New Roman" w:hAnsi="Times New Roman"/>
            <w:b w:val="false"/>
            <w:i w:val="false"/>
            <w:color w:val="000000"/>
            <w:sz w:val="22"/>
          </w:rPr>
          <w:t>441—201.5</w:t>
        </w:r>
      </w:hyperlink>
      <w:r>
        <w:rPr>
          <w:rFonts w:ascii="Times New Roman" w:hAnsi="Times New Roman"/>
          <w:b w:val="false"/>
          <w:i w:val="false"/>
          <w:color w:val="000000"/>
          <w:sz w:val="22"/>
        </w:rPr>
        <w:t>(600) and cannot exceed the foster care maintenance amount paid in family foster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441—156.14</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for foster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156.14(1)</w:t>
      </w:r>
      <w:r>
        <w:rPr>
          <w:rFonts w:ascii="Times New Roman" w:hAnsi="Times New Roman"/>
          <w:b w:val="false"/>
          <w:i w:val="false"/>
          <w:color w:val="000000"/>
          <w:sz w:val="22"/>
        </w:rPr>
        <w:t> </w:t>
      </w:r>
      <w:r>
        <w:rPr>
          <w:rFonts w:ascii="Times New Roman" w:hAnsi="Times New Roman"/>
          <w:b w:val="false"/>
          <w:i/>
          <w:color w:val="000000"/>
          <w:sz w:val="22"/>
        </w:rPr>
        <w:t xml:space="preserve">Client eligibility. </w:t>
      </w:r>
      <w:r>
        <w:rPr>
          <w:rFonts w:ascii="Times New Roman" w:hAnsi="Times New Roman"/>
          <w:b w:val="false"/>
          <w:i w:val="false"/>
          <w:color w:val="000000"/>
          <w:sz w:val="22"/>
        </w:rPr>
        <w:t>Foster care payment is limited to the following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18 are eligible based on legal status, subject to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status. The youth’s placement will be based on one of the following legal statuses: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has ordered foster care placement pursuant to Iowa Code section </w:t>
      </w:r>
      <w:hyperlink r:id="rId42">
        <w:r>
          <w:rPr>
            <w:rStyle w:val="Hyperlink"/>
            <w:rFonts w:ascii="Times New Roman" w:hAnsi="Times New Roman"/>
            <w:b w:val="false"/>
            <w:i w:val="false"/>
            <w:color w:val="000000"/>
            <w:sz w:val="22"/>
          </w:rPr>
          <w:t>232.52(2)</w:t>
        </w:r>
        <w:r>
          <w:rPr>
            <w:rFonts w:ascii="Times New Roman" w:hAnsi="Times New Roman"/>
            <w:b w:val="false"/>
            <w:i/>
            <w:color w:val="000000"/>
            <w:sz w:val="22"/>
          </w:rPr>
          <w:t>“d,”</w:t>
        </w:r>
      </w:hyperlink>
      <w:r>
        <w:rPr>
          <w:rFonts w:ascii="Times New Roman" w:hAnsi="Times New Roman"/>
          <w:b w:val="false"/>
          <w:i w:val="false"/>
          <w:color w:val="000000"/>
          <w:sz w:val="22"/>
        </w:rPr>
        <w:t> </w:t>
      </w:r>
      <w:hyperlink r:id="rId43">
        <w:r>
          <w:rPr>
            <w:rStyle w:val="Hyperlink"/>
            <w:rFonts w:ascii="Times New Roman" w:hAnsi="Times New Roman"/>
            <w:b w:val="false"/>
            <w:i w:val="false"/>
            <w:color w:val="000000"/>
            <w:sz w:val="22"/>
          </w:rPr>
          <w:t>232.102(1)</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placed in shelter care pursuant to Iowa Code section </w:t>
      </w:r>
      <w:hyperlink r:id="rId45">
        <w:r>
          <w:rPr>
            <w:rStyle w:val="Hyperlink"/>
            <w:rFonts w:ascii="Times New Roman" w:hAnsi="Times New Roman"/>
            <w:b w:val="false"/>
            <w:i w:val="false"/>
            <w:color w:val="000000"/>
            <w:sz w:val="22"/>
          </w:rPr>
          <w:t>232.20(1)</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232.21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agreed to provide foster care under a voluntary placement agreement pursuant to rule </w:t>
      </w:r>
      <w:hyperlink r:id="rId47">
        <w:r>
          <w:rPr>
            <w:rStyle w:val="Hyperlink"/>
            <w:rFonts w:ascii="Times New Roman" w:hAnsi="Times New Roman"/>
            <w:b w:val="false"/>
            <w:i w:val="false"/>
            <w:color w:val="000000"/>
            <w:sz w:val="22"/>
          </w:rPr>
          <w:t>441—202.3</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Limitations. Department payment for group care is limited to placements that have been authorized by the department and that conform to the service area group care plan developed pursuant to rule </w:t>
      </w:r>
      <w:hyperlink r:id="rId48">
        <w:r>
          <w:rPr>
            <w:rStyle w:val="Hyperlink"/>
            <w:rFonts w:ascii="Times New Roman" w:hAnsi="Times New Roman"/>
            <w:b w:val="false"/>
            <w:i w:val="false"/>
            <w:color w:val="000000"/>
            <w:sz w:val="22"/>
          </w:rPr>
          <w:t>441—202.17</w:t>
        </w:r>
      </w:hyperlink>
      <w:r>
        <w:rPr>
          <w:rFonts w:ascii="Times New Roman" w:hAnsi="Times New Roman"/>
          <w:b w:val="false"/>
          <w:i w:val="false"/>
          <w:color w:val="000000"/>
          <w:sz w:val="22"/>
        </w:rPr>
        <w:t xml:space="preserve">(232). Payment for an out-of-state group care placement shall be limited to placements approved pursuant to </w:t>
      </w:r>
      <w:hyperlink r:id="rId49">
        <w:r>
          <w:rPr>
            <w:rStyle w:val="Hyperlink"/>
            <w:rFonts w:ascii="Times New Roman" w:hAnsi="Times New Roman"/>
            <w:b w:val="false"/>
            <w:i w:val="false"/>
            <w:color w:val="000000"/>
            <w:sz w:val="22"/>
          </w:rPr>
          <w:t>441—subrule 202.8(2)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Youth aged 18 and older who meet the definition of child in rule </w:t>
      </w:r>
      <w:hyperlink r:id="rId50">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are eligible based on age, a voluntary placement agreement pursuant to </w:t>
      </w:r>
      <w:hyperlink r:id="rId51">
        <w:r>
          <w:rPr>
            <w:rStyle w:val="Hyperlink"/>
            <w:rFonts w:ascii="Times New Roman" w:hAnsi="Times New Roman"/>
            <w:b w:val="false"/>
            <w:i w:val="false"/>
            <w:color w:val="000000"/>
            <w:sz w:val="22"/>
          </w:rPr>
          <w:t>441—subrule 202.3(3)</w:t>
        </w:r>
      </w:hyperlink>
      <w:r>
        <w:rPr>
          <w:rFonts w:ascii="Times New Roman" w:hAnsi="Times New Roman"/>
          <w:b w:val="false"/>
          <w:i w:val="false"/>
          <w:color w:val="000000"/>
          <w:sz w:val="22"/>
        </w:rPr>
        <w:t>, and type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2">
        <w:r>
          <w:rPr>
            <w:rStyle w:val="Hyperlink"/>
            <w:rFonts w:ascii="Times New Roman" w:hAnsi="Times New Roman"/>
            <w:b w:val="false"/>
            <w:i w:val="false"/>
            <w:color w:val="000000"/>
            <w:sz w:val="22"/>
          </w:rPr>
          <w:t>156.14(1)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18 years of age is limited to family foster care or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53">
        <w:r>
          <w:rPr>
            <w:rStyle w:val="Hyperlink"/>
            <w:rFonts w:ascii="Times New Roman" w:hAnsi="Times New Roman"/>
            <w:b w:val="false"/>
            <w:i w:val="false"/>
            <w:color w:val="000000"/>
            <w:sz w:val="22"/>
          </w:rPr>
          <w:t>156.14(1)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payment for a child who is 19 years of age will be limited to supervised apartment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An exception to subparagraphs </w:t>
      </w:r>
      <w:hyperlink r:id="rId54">
        <w:r>
          <w:rPr>
            <w:rStyle w:val="Hyperlink"/>
            <w:rFonts w:ascii="Times New Roman" w:hAnsi="Times New Roman"/>
            <w:b w:val="false"/>
            <w:i w:val="false"/>
            <w:color w:val="000000"/>
            <w:sz w:val="22"/>
          </w:rPr>
          <w:t>156.14(1)</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 will be granted for all unaccompanied refugee minors. The child’s eligibility for the exception will be documented in the case record. The service area manager or designee will grant an exception for other children when the child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does not have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at imminent risk of becoming homeless or of failing to graduate from high school or obtain a general equivalency diploma. “At imminent risk of becoming homeless” means that a less restrictive living arrangement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placement is in the child’s best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Funds are available in the service area’s allocation. When the service area manager has approved payment for foster care pursuant to this subparagraph, funds that may be necessary to provide payment for the time period of the exception, not to exceed the current fiscal year, will be considered encumbered and no longer available. Each service area’s funding allocation will be based on the service area’s portion of the total number of children in foster care on March 31 preceding the beginning of the fiscal year, who would no longer be eligible for foster care during the fiscal year due to age, excluding unaccompanied refugee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young mother is eligible for the extra payment for her young child living with her in care as set forth in subrules </w:t>
      </w:r>
      <w:hyperlink r:id="rId55">
        <w:r>
          <w:rPr>
            <w:rStyle w:val="Hyperlink"/>
            <w:rFonts w:ascii="Times New Roman" w:hAnsi="Times New Roman"/>
            <w:b w:val="false"/>
            <w:i w:val="false"/>
            <w:color w:val="000000"/>
            <w:sz w:val="22"/>
          </w:rPr>
          <w:t>156.3(3)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 xml:space="preserve"> and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mother is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mother’s custodian determines, as documented in the mother’s case permanency plan, that it is in her best interest and the best interest of the young child that the child remain with 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placement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mother agrees to refund to the department any child support payments she receives on behalf of the child and to allow the department to be made payee for any other unearned income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156.14(2)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for payment. </w:t>
      </w:r>
      <w:r>
        <w:rPr>
          <w:rFonts w:ascii="Times New Roman" w:hAnsi="Times New Roman"/>
          <w:b w:val="false"/>
          <w:i w:val="false"/>
          <w:color w:val="000000"/>
          <w:sz w:val="22"/>
        </w:rPr>
        <w:t xml:space="preserve">Providers of foster care services shall have a foster care services contract under </w:t>
      </w:r>
      <w:hyperlink r:id="rId57">
        <w:r>
          <w:rPr>
            <w:rStyle w:val="Hyperlink"/>
            <w:rFonts w:ascii="Times New Roman" w:hAnsi="Times New Roman"/>
            <w:b w:val="false"/>
            <w:i w:val="false"/>
            <w:color w:val="000000"/>
            <w:sz w:val="22"/>
          </w:rPr>
          <w:t>441—Chapter 152</w:t>
        </w:r>
      </w:hyperlink>
      <w:r>
        <w:rPr>
          <w:rFonts w:ascii="Times New Roman" w:hAnsi="Times New Roman"/>
          <w:b w:val="false"/>
          <w:i w:val="false"/>
          <w:color w:val="000000"/>
          <w:sz w:val="22"/>
        </w:rPr>
        <w:t xml:space="preserve"> in force.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0074D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7/1/74; amended 9/4/74]</w:t>
      </w:r>
    </w:p>
    <w:p>
      <w:pPr>
        <w:spacing w:before="0" w:after="0"/>
        <w:ind w:left="120"/>
        <w:jc w:val="center"/>
      </w:pPr>
      <w:r>
        <w:rPr>
          <w:rFonts w:ascii="Times New Roman" w:hAnsi="Times New Roman"/>
          <w:b w:val="false"/>
          <w:i w:val="false"/>
          <w:color w:val="000000"/>
          <w:sz w:val="21"/>
        </w:rPr>
        <w:t>[Filed emergency 10/31/75—published 11/17/75, effective 11/1/75]</w:t>
      </w:r>
    </w:p>
    <w:p>
      <w:pPr>
        <w:spacing w:before="0" w:after="0"/>
        <w:ind w:left="120"/>
        <w:jc w:val="center"/>
      </w:pPr>
      <w:r>
        <w:rPr>
          <w:rFonts w:ascii="Times New Roman" w:hAnsi="Times New Roman"/>
          <w:b w:val="false"/>
          <w:i w:val="false"/>
          <w:color w:val="000000"/>
          <w:sz w:val="21"/>
        </w:rPr>
        <w:t>[Filed 12/23/75, Notice 11/17/75—published 1/12/76, effective 2/16/76]</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7/29/76—published 8/23/76, effective 9/1/76]</w:t>
      </w:r>
    </w:p>
    <w:p>
      <w:pPr>
        <w:spacing w:before="0" w:after="0"/>
        <w:ind w:left="120"/>
        <w:jc w:val="center"/>
      </w:pPr>
      <w:r>
        <w:rPr>
          <w:rFonts w:ascii="Times New Roman" w:hAnsi="Times New Roman"/>
          <w:b w:val="false"/>
          <w:i w:val="false"/>
          <w:color w:val="000000"/>
          <w:sz w:val="21"/>
        </w:rPr>
        <w:t>[Filed 10/7/76, Notice 8/23/76—published 11/3/76, effective 12/8/76]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5/24/78, Notice 3/22/78—published 6/14/78, effective 7/19/78]</w:t>
      </w:r>
    </w:p>
    <w:p>
      <w:pPr>
        <w:spacing w:before="0" w:after="0"/>
        <w:ind w:left="120"/>
        <w:jc w:val="center"/>
      </w:pPr>
      <w:r>
        <w:rPr>
          <w:rFonts w:ascii="Times New Roman" w:hAnsi="Times New Roman"/>
          <w:b w:val="false"/>
          <w:i w:val="false"/>
          <w:color w:val="000000"/>
          <w:sz w:val="21"/>
        </w:rPr>
        <w:t>[Filed emergency 7/28/78—published 8/23/78, effective 8/1/78]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10/24/80, Notice 9/3/80—published 11/12/80, effective 12/17/80]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8/20/82—published 9/15/82, effective 9/1/82]</w:t>
      </w:r>
    </w:p>
    <w:p>
      <w:pPr>
        <w:spacing w:before="0" w:after="0"/>
        <w:ind w:left="120"/>
        <w:jc w:val="center"/>
      </w:pPr>
      <w:r>
        <w:rPr>
          <w:rFonts w:ascii="Times New Roman" w:hAnsi="Times New Roman"/>
          <w:b w:val="false"/>
          <w:i w:val="false"/>
          <w:color w:val="000000"/>
          <w:sz w:val="21"/>
        </w:rPr>
        <w:t>[Filed 2/25/83, Notice 12/22/82—published 3/16/83, effective 5/1/83]</w:t>
      </w:r>
    </w:p>
    <w:p>
      <w:pPr>
        <w:spacing w:before="0" w:after="0"/>
        <w:ind w:left="120"/>
        <w:jc w:val="center"/>
      </w:pPr>
      <w:r>
        <w:rPr>
          <w:rFonts w:ascii="Times New Roman" w:hAnsi="Times New Roman"/>
          <w:b w:val="false"/>
          <w:i w:val="false"/>
          <w:color w:val="000000"/>
          <w:sz w:val="21"/>
        </w:rPr>
        <w:t>[Filed emergency after Notice 6/17/83—published 7/6/83, effective 7/1/83]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11/16/84—published 12/5/84, effective 12/1/84]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12/12/85, Notice 10/9/85—published 1/1/86, effective 3/1/86]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8/28/87, Notice 7/15/87—published 9/23/87, effective 11/1/87]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9/21/87—published 10/21/87, effective 9/22/87]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12/10/87, Notice 10/21/87—published 12/30/87, effective 3/1/88]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4/13/89, Notice 1/11/89—published 5/3/89,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7/13/89, Notice 5/31/89—published 8/9/89, effective 10/1/89]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5/14/93, Notice 3/17/93—published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2/17/93—published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10/14/93—published 11/10/93, effective 11/1/93]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12/16/93, Notices 10/13/93, 11/10/93—published 1/5/94, effective 3/1/94]</w:t>
      </w:r>
    </w:p>
    <w:p>
      <w:pPr>
        <w:spacing w:before="0" w:after="0"/>
        <w:ind w:left="120"/>
        <w:jc w:val="center"/>
      </w:pPr>
      <w:r>
        <w:rPr>
          <w:rFonts w:ascii="Times New Roman" w:hAnsi="Times New Roman"/>
          <w:b w:val="false"/>
          <w:i w:val="false"/>
          <w:color w:val="000000"/>
          <w:sz w:val="21"/>
        </w:rPr>
        <w:t>[Filed emergency 5/11/94 after Notice 3/16/94—published 6/8/94,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12/15/94—published 1/4/95, effective 2/1/95]</w:t>
      </w:r>
    </w:p>
    <w:p>
      <w:pPr>
        <w:spacing w:before="0" w:after="0"/>
        <w:ind w:left="120"/>
        <w:jc w:val="center"/>
      </w:pPr>
      <w:r>
        <w:rPr>
          <w:rFonts w:ascii="Times New Roman" w:hAnsi="Times New Roman"/>
          <w:b w:val="false"/>
          <w:i w:val="false"/>
          <w:color w:val="000000"/>
          <w:sz w:val="21"/>
        </w:rPr>
        <w:t>[Filed 12/15/94, Notice 10/26/94—published 1/4/95, effective 3/1/95]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4/13/95, Notices 2/15/95,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emergency 7/12/95—published 8/2/95, effective 9/1/95]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9/25/95, Notice 8/2/95—published 10/11/95, effective 12/1/95]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6/13/96—published 7/3/96, effective 8/1/96]</w:t>
      </w:r>
    </w:p>
    <w:p>
      <w:pPr>
        <w:spacing w:before="0" w:after="0"/>
        <w:ind w:left="120"/>
        <w:jc w:val="center"/>
      </w:pPr>
      <w:r>
        <w:rPr>
          <w:rFonts w:ascii="Times New Roman" w:hAnsi="Times New Roman"/>
          <w:b w:val="false"/>
          <w:i w:val="false"/>
          <w:color w:val="000000"/>
          <w:sz w:val="21"/>
        </w:rPr>
        <w:t>[Filed 8/15/96, Notices 6/19/96, 7/3/96—published 9/11/96, effective 11/1/96]</w:t>
      </w:r>
    </w:p>
    <w:p>
      <w:pPr>
        <w:spacing w:before="0" w:after="0"/>
        <w:ind w:left="120"/>
        <w:jc w:val="center"/>
      </w:pPr>
      <w:r>
        <w:rPr>
          <w:rFonts w:ascii="Times New Roman" w:hAnsi="Times New Roman"/>
          <w:b w:val="false"/>
          <w:i w:val="false"/>
          <w:color w:val="000000"/>
          <w:sz w:val="21"/>
        </w:rPr>
        <w:t>[Filed 9/17/96, Notice 7/17/96—published 10/9/96, effective 12/1/96]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10/14/98 after Notice 8/26/98—published 11/4/98,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1/10/01, Notice 11/15/00—published 2/7/01, effective 4/1/01]</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6/16/06—published 7/5/06, effective 7/1/06]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9/19/06, Notices 7/5/06—published 10/11/06, effective 11/16/06]</w:t>
      </w:r>
    </w:p>
    <w:p>
      <w:pPr>
        <w:spacing w:before="0" w:after="0"/>
        <w:ind w:left="120"/>
        <w:jc w:val="center"/>
      </w:pPr>
      <w:r>
        <w:rPr>
          <w:rFonts w:ascii="Times New Roman" w:hAnsi="Times New Roman"/>
          <w:b w:val="false"/>
          <w:i w:val="false"/>
          <w:color w:val="000000"/>
          <w:sz w:val="21"/>
        </w:rPr>
        <w:t>[Filed emergency 10/12/06—published 11/8/06,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emergency 6/13/07—published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8715B</w:t>
      </w:r>
      <w:r>
        <w:rPr>
          <w:rFonts w:ascii="Times New Roman" w:hAnsi="Times New Roman"/>
          <w:b w:val="false"/>
          <w:i w:val="false"/>
          <w:color w:val="000000"/>
          <w:sz w:val="21"/>
        </w:rPr>
        <w:t xml:space="preserve"> (Notice ARC 8490B, IAB 1/27/10)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ARC 8904B, IAB 6/30/10, effective 7/1/10]</w:t>
      </w:r>
    </w:p>
    <w:p>
      <w:pPr>
        <w:spacing w:before="0" w:after="0"/>
        <w:ind w:left="120"/>
        <w:jc w:val="center"/>
      </w:pPr>
      <w:r>
        <w:rPr>
          <w:rFonts w:ascii="Times New Roman" w:hAnsi="Times New Roman"/>
          <w:b w:val="false"/>
          <w:i w:val="false"/>
          <w:color w:val="000000"/>
          <w:sz w:val="21"/>
        </w:rPr>
        <w:t>[Filed ARC 9778B</w:t>
      </w:r>
      <w:r>
        <w:rPr>
          <w:rFonts w:ascii="Times New Roman" w:hAnsi="Times New Roman"/>
          <w:b w:val="false"/>
          <w:i w:val="false"/>
          <w:color w:val="000000"/>
          <w:sz w:val="21"/>
        </w:rPr>
        <w:t xml:space="preserve"> (Notice ARC 9625B,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Emergency ARC 0240C, IAB 8/8/12, effective 7/11/12]</w:t>
      </w:r>
    </w:p>
    <w:p>
      <w:pPr>
        <w:spacing w:before="0" w:after="0"/>
        <w:ind w:left="120"/>
        <w:jc w:val="center"/>
      </w:pPr>
      <w:r>
        <w:rPr>
          <w:rFonts w:ascii="Times New Roman" w:hAnsi="Times New Roman"/>
          <w:b w:val="false"/>
          <w:i w:val="false"/>
          <w:color w:val="000000"/>
          <w:sz w:val="21"/>
        </w:rPr>
        <w:t>[Filed ARC 0419C</w:t>
      </w:r>
      <w:r>
        <w:rPr>
          <w:rFonts w:ascii="Times New Roman" w:hAnsi="Times New Roman"/>
          <w:b w:val="false"/>
          <w:i w:val="false"/>
          <w:color w:val="000000"/>
          <w:sz w:val="21"/>
        </w:rPr>
        <w:t xml:space="preserve"> (Notice ARC 0241C,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Emergency ARC 0858C, IAB 7/24/13, effective 7/1/13]</w:t>
      </w:r>
      <w:r>
        <w:br/>
      </w:r>
      <w:r>
        <w:rPr>
          <w:rFonts w:ascii="Times New Roman" w:hAnsi="Times New Roman"/>
          <w:b w:val="false"/>
          <w:i w:val="false"/>
          <w:color w:val="000000"/>
          <w:sz w:val="21"/>
        </w:rPr>
        <w:t>[Filed Emergency ARC 0856C, IAB 7/24/13, effective 7/1/13]</w:t>
      </w:r>
    </w:p>
    <w:p>
      <w:pPr>
        <w:spacing w:before="0" w:after="0"/>
        <w:ind w:left="120"/>
        <w:jc w:val="center"/>
      </w:pPr>
      <w:r>
        <w:rPr>
          <w:rFonts w:ascii="Times New Roman" w:hAnsi="Times New Roman"/>
          <w:b w:val="false"/>
          <w:i w:val="false"/>
          <w:color w:val="000000"/>
          <w:sz w:val="21"/>
        </w:rPr>
        <w:t>[Filed ARC 1061C</w:t>
      </w:r>
      <w:r>
        <w:rPr>
          <w:rFonts w:ascii="Times New Roman" w:hAnsi="Times New Roman"/>
          <w:b w:val="false"/>
          <w:i w:val="false"/>
          <w:color w:val="000000"/>
          <w:sz w:val="21"/>
        </w:rPr>
        <w:t xml:space="preserve"> (Notice ARC 0857C,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1062C</w:t>
      </w:r>
      <w:r>
        <w:rPr>
          <w:rFonts w:ascii="Times New Roman" w:hAnsi="Times New Roman"/>
          <w:b w:val="false"/>
          <w:i w:val="false"/>
          <w:color w:val="000000"/>
          <w:sz w:val="21"/>
        </w:rPr>
        <w:t xml:space="preserve"> (Notice ARC 0855C,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Emergency ARC 1523C, IAB 7/9/14, effective 7/1/14]</w:t>
      </w:r>
    </w:p>
    <w:p>
      <w:pPr>
        <w:spacing w:before="0" w:after="0"/>
        <w:ind w:left="120"/>
        <w:jc w:val="center"/>
      </w:pPr>
      <w:r>
        <w:rPr>
          <w:rFonts w:ascii="Times New Roman" w:hAnsi="Times New Roman"/>
          <w:b w:val="false"/>
          <w:i w:val="false"/>
          <w:color w:val="000000"/>
          <w:sz w:val="21"/>
        </w:rPr>
        <w:t>[Filed ARC 1607C</w:t>
      </w:r>
      <w:r>
        <w:rPr>
          <w:rFonts w:ascii="Times New Roman" w:hAnsi="Times New Roman"/>
          <w:b w:val="false"/>
          <w:i w:val="false"/>
          <w:color w:val="000000"/>
          <w:sz w:val="21"/>
        </w:rPr>
        <w:t xml:space="preserve"> (Notice ARC 1522C,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5540C</w:t>
      </w:r>
      <w:r>
        <w:rPr>
          <w:rFonts w:ascii="Times New Roman" w:hAnsi="Times New Roman"/>
          <w:b w:val="false"/>
          <w:i w:val="false"/>
          <w:color w:val="000000"/>
          <w:sz w:val="21"/>
        </w:rPr>
        <w:t xml:space="preserve"> (Notice ARC 5406C, IAB 1/27/21)</w:t>
      </w:r>
      <w:r>
        <w:rPr>
          <w:rFonts w:ascii="Times New Roman" w:hAnsi="Times New Roman"/>
          <w:b w:val="false"/>
          <w:i w:val="false"/>
          <w:color w:val="000000"/>
          <w:sz w:val="21"/>
        </w:rPr>
        <w:t>, IAB 4/7/21, effective 7/1/21]</w:t>
      </w:r>
    </w:p>
    <w:p>
      <w:pPr>
        <w:spacing w:before="0" w:after="0"/>
        <w:ind w:left="120"/>
        <w:jc w:val="center"/>
      </w:pPr>
      <w:r>
        <w:rPr>
          <w:rFonts w:ascii="Times New Roman" w:hAnsi="Times New Roman"/>
          <w:b w:val="false"/>
          <w:i w:val="false"/>
          <w:color w:val="000000"/>
          <w:sz w:val="21"/>
        </w:rPr>
        <w:t>[Filed ARC 6964C</w:t>
      </w:r>
      <w:r>
        <w:rPr>
          <w:rFonts w:ascii="Times New Roman" w:hAnsi="Times New Roman"/>
          <w:b w:val="false"/>
          <w:i w:val="false"/>
          <w:color w:val="000000"/>
          <w:sz w:val="21"/>
        </w:rPr>
        <w:t xml:space="preserve"> (Notice ARC 6810C, IAB 1/11/23)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8969C</w:t>
      </w:r>
      <w:r>
        <w:rPr>
          <w:rFonts w:ascii="Times New Roman" w:hAnsi="Times New Roman"/>
          <w:b w:val="false"/>
          <w:i w:val="false"/>
          <w:color w:val="000000"/>
          <w:sz w:val="21"/>
        </w:rPr>
        <w:t xml:space="preserve"> (Notice ARC 8469C, IAB 12/11/24)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0074D</w:t>
      </w:r>
      <w:r>
        <w:rPr>
          <w:rFonts w:ascii="Times New Roman" w:hAnsi="Times New Roman"/>
          <w:b w:val="false"/>
          <w:i w:val="false"/>
          <w:color w:val="000000"/>
          <w:sz w:val="21"/>
        </w:rPr>
        <w:t xml:space="preserve"> (Notice ARC 9673C, IAB 11/12/25)</w:t>
      </w:r>
      <w:r>
        <w:rPr>
          <w:rFonts w:ascii="Times New Roman" w:hAnsi="Times New Roman"/>
          <w:b w:val="false"/>
          <w:i w:val="false"/>
          <w:color w:val="000000"/>
          <w:sz w:val="21"/>
        </w:rPr>
        <w:t>, IAB 2/18/26, effective 4/1/26]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6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3.pdf" Type="http://schemas.openxmlformats.org/officeDocument/2006/relationships/hyperlink" Id="rId5"/>
    <Relationship TargetMode="External" Target="https://www.legis.iowa.gov/docs/ico/chapter/237.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237.pdf" Type="http://schemas.openxmlformats.org/officeDocument/2006/relationships/hyperlink" Id="rId8"/>
    <Relationship TargetMode="External" Target="https://www.legis.iowa.gov/docs/iac/chapter/441.99.pdf" Type="http://schemas.openxmlformats.org/officeDocument/2006/relationships/hyperlink" Id="rId9"/>
    <Relationship TargetMode="External" Target="https://www.legis.iowa.gov/docs/ico/chapter/135.1.pdf" Type="http://schemas.openxmlformats.org/officeDocument/2006/relationships/hyperlink" Id="rId10"/>
    <Relationship TargetMode="External" Target="https://www.legis.iowa.gov/docs/ico/chapter/234.39.pdf" Type="http://schemas.openxmlformats.org/officeDocument/2006/relationships/hyperlink" Id="rId11"/>
    <Relationship TargetMode="External" Target="https://www.legis.iowa.gov/docs/iac/chapter/441.99.pdf" Type="http://schemas.openxmlformats.org/officeDocument/2006/relationships/hyperlink" Id="rId12"/>
    <Relationship TargetMode="External" Target="https://www.legis.iowa.gov/docs/ico/chapter/234.39.pdf" Type="http://schemas.openxmlformats.org/officeDocument/2006/relationships/hyperlink" Id="rId13"/>
    <Relationship TargetMode="External" Target="https://www.legis.iowa.gov/docs/iac/rule/441.156.6.pdf" Type="http://schemas.openxmlformats.org/officeDocument/2006/relationships/hyperlink" Id="rId14"/>
    <Relationship TargetMode="External" Target="https://www.legis.iowa.gov/docs/iac/rule/441.156.6.pdf" Type="http://schemas.openxmlformats.org/officeDocument/2006/relationships/hyperlink" Id="rId15"/>
    <Relationship TargetMode="External" Target="https://www.legis.iowa.gov/docs/iac/rule/441.156.6.pdf" Type="http://schemas.openxmlformats.org/officeDocument/2006/relationships/hyperlink" Id="rId16"/>
    <Relationship TargetMode="External" Target="https://www.legis.iowa.gov/docs/iac/rule/441.156.6.pdf" Type="http://schemas.openxmlformats.org/officeDocument/2006/relationships/hyperlink" Id="rId17"/>
    <Relationship TargetMode="External" Target="https://www.legis.iowa.gov/docs/iac/rule/441.156.6.pdf" Type="http://schemas.openxmlformats.org/officeDocument/2006/relationships/hyperlink" Id="rId18"/>
    <Relationship TargetMode="External" Target="https://www.legis.iowa.gov/docs/ico/chapter/234.38.pdf" Type="http://schemas.openxmlformats.org/officeDocument/2006/relationships/hyperlink" Id="rId19"/>
    <Relationship TargetMode="External" Target="https://www.legis.iowa.gov/docs/ico/chapter/237.pdf" Type="http://schemas.openxmlformats.org/officeDocument/2006/relationships/hyperlink" Id="rId20"/>
    <Relationship TargetMode="External" Target="https://www.legis.iowa.gov/docs/iac/rule/441.156.6.pdf" Type="http://schemas.openxmlformats.org/officeDocument/2006/relationships/hyperlink" Id="rId21"/>
    <Relationship TargetMode="External" Target="https://www.legis.iowa.gov/docs/ico/chapter/232.102.pdf" Type="http://schemas.openxmlformats.org/officeDocument/2006/relationships/hyperlink" Id="rId22"/>
    <Relationship TargetMode="External" Target="https://www.legis.iowa.gov/docs/iac/rule/441.156.6.pdf" Type="http://schemas.openxmlformats.org/officeDocument/2006/relationships/hyperlink" Id="rId23"/>
    <Relationship TargetMode="External" Target="https://www.legis.iowa.gov/docs/iac/chapter/441.110.pdf" Type="http://schemas.openxmlformats.org/officeDocument/2006/relationships/hyperlink" Id="rId24"/>
    <Relationship TargetMode="External" Target="https://www.legis.iowa.gov/docs/iac/rule/441.170.4.pdf" Type="http://schemas.openxmlformats.org/officeDocument/2006/relationships/hyperlink" Id="rId25"/>
    <Relationship TargetMode="External" Target="https://www.legis.iowa.gov/docs/ico/chapter/234.38.pdf" Type="http://schemas.openxmlformats.org/officeDocument/2006/relationships/hyperlink" Id="rId26"/>
    <Relationship TargetMode="External" Target="https://www.legis.iowa.gov/docs/iac/rule/441.156.9.pdf" Type="http://schemas.openxmlformats.org/officeDocument/2006/relationships/hyperlink" Id="rId27"/>
    <Relationship TargetMode="External" Target="https://www.legis.iowa.gov/docs/iac/rule/441.156.6.pdf" Type="http://schemas.openxmlformats.org/officeDocument/2006/relationships/hyperlink" Id="rId28"/>
    <Relationship TargetMode="External" Target="https://www.legis.iowa.gov/docs/ico/chapter/234.6.pdf" Type="http://schemas.openxmlformats.org/officeDocument/2006/relationships/hyperlink" Id="rId29"/>
    <Relationship TargetMode="External" Target="https://www.legis.iowa.gov/docs/ico/chapter/234.38.pdf" Type="http://schemas.openxmlformats.org/officeDocument/2006/relationships/hyperlink" Id="rId30"/>
    <Relationship TargetMode="External" Target="https://www.legis.iowa.gov/docs/ico/chapter/234.6.pdf" Type="http://schemas.openxmlformats.org/officeDocument/2006/relationships/hyperlink" Id="rId31"/>
    <Relationship TargetMode="External" Target="https://www.legis.iowa.gov/docs/ico/chapter/234.35.pdf" Type="http://schemas.openxmlformats.org/officeDocument/2006/relationships/hyperlink" Id="rId32"/>
    <Relationship TargetMode="External" Target="https://www.legis.iowa.gov/docs/ico/chapter/232.141.pdf" Type="http://schemas.openxmlformats.org/officeDocument/2006/relationships/hyperlink" Id="rId33"/>
    <Relationship TargetMode="External" Target="https://www.legis.iowa.gov/docs/ico/chapter/234.6.pdf" Type="http://schemas.openxmlformats.org/officeDocument/2006/relationships/hyperlink" Id="rId34"/>
    <Relationship TargetMode="External" Target="https://www.legis.iowa.gov/docs/ico/chapter/234.39.pdf" Type="http://schemas.openxmlformats.org/officeDocument/2006/relationships/hyperlink" Id="rId35"/>
    <Relationship TargetMode="External" Target="https://www.legis.iowa.gov/docs/ico/chapter/234.35.pdf" Type="http://schemas.openxmlformats.org/officeDocument/2006/relationships/hyperlink" Id="rId36"/>
    <Relationship TargetMode="External" Target="https://www.legis.iowa.gov/docs/ico/chapter/234.39.pdf" Type="http://schemas.openxmlformats.org/officeDocument/2006/relationships/hyperlink" Id="rId37"/>
    <Relationship TargetMode="External" Target="https://www.legis.iowa.gov/docs/ico/chapter/234.39.pdf" Type="http://schemas.openxmlformats.org/officeDocument/2006/relationships/hyperlink" Id="rId38"/>
    <Relationship TargetMode="External" Target="https://www.legis.iowa.gov/docs/ico/chapter/234.39.pdf" Type="http://schemas.openxmlformats.org/officeDocument/2006/relationships/hyperlink" Id="rId39"/>
    <Relationship TargetMode="External" Target="https://www.legis.iowa.gov/docs/iac/rule/441.201.5.pdf" Type="http://schemas.openxmlformats.org/officeDocument/2006/relationships/hyperlink" Id="rId40"/>
    <Relationship TargetMode="External" Target="https://www.legis.iowa.gov/docs/ico/chapter/234.38.pdf" Type="http://schemas.openxmlformats.org/officeDocument/2006/relationships/hyperlink" Id="rId41"/>
    <Relationship TargetMode="External" Target="https://www.legis.iowa.gov/docs/ico/chapter/232.52.pdf" Type="http://schemas.openxmlformats.org/officeDocument/2006/relationships/hyperlink" Id="rId42"/>
    <Relationship TargetMode="External" Target="https://www.legis.iowa.gov/docs/ico/chapter/232.102.pdf" Type="http://schemas.openxmlformats.org/officeDocument/2006/relationships/hyperlink" Id="rId43"/>
    <Relationship TargetMode="External" Target="https://www.legis.iowa.gov/docs/ico/chapter/232.117.pdf" Type="http://schemas.openxmlformats.org/officeDocument/2006/relationships/hyperlink" Id="rId44"/>
    <Relationship TargetMode="External" Target="https://www.legis.iowa.gov/docs/ico/chapter/232.20.pdf" Type="http://schemas.openxmlformats.org/officeDocument/2006/relationships/hyperlink" Id="rId45"/>
    <Relationship TargetMode="External" Target="https://www.legis.iowa.gov/docs/ico/chapter/232.21.pdf" Type="http://schemas.openxmlformats.org/officeDocument/2006/relationships/hyperlink" Id="rId46"/>
    <Relationship TargetMode="External" Target="https://www.legis.iowa.gov/docs/iac/rule/441.202.3.pdf" Type="http://schemas.openxmlformats.org/officeDocument/2006/relationships/hyperlink" Id="rId47"/>
    <Relationship TargetMode="External" Target="https://www.legis.iowa.gov/docs/iac/rule/441.202.17.pdf" Type="http://schemas.openxmlformats.org/officeDocument/2006/relationships/hyperlink" Id="rId48"/>
    <Relationship TargetMode="External" Target="https://www.legis.iowa.gov/docs/iac/rule/441.202.8.pdf" Type="http://schemas.openxmlformats.org/officeDocument/2006/relationships/hyperlink" Id="rId49"/>
    <Relationship TargetMode="External" Target="https://www.legis.iowa.gov/docs/iac/rule/441.202.1.pdf" Type="http://schemas.openxmlformats.org/officeDocument/2006/relationships/hyperlink" Id="rId50"/>
    <Relationship TargetMode="External" Target="https://www.legis.iowa.gov/docs/iac/rule/441.202.3.pdf" Type="http://schemas.openxmlformats.org/officeDocument/2006/relationships/hyperlink" Id="rId51"/>
    <Relationship TargetMode="External" Target="https://www.legis.iowa.gov/docs/iac/rule/441.156.14.pdf" Type="http://schemas.openxmlformats.org/officeDocument/2006/relationships/hyperlink" Id="rId52"/>
    <Relationship TargetMode="External" Target="https://www.legis.iowa.gov/docs/iac/rule/441.156.14.pdf" Type="http://schemas.openxmlformats.org/officeDocument/2006/relationships/hyperlink" Id="rId53"/>
    <Relationship TargetMode="External" Target="https://www.legis.iowa.gov/docs/iac/rule/441.156.14.pdf" Type="http://schemas.openxmlformats.org/officeDocument/2006/relationships/hyperlink" Id="rId54"/>
    <Relationship TargetMode="External" Target="https://www.legis.iowa.gov/docs/iac/rule/441.156.3.pdf" Type="http://schemas.openxmlformats.org/officeDocument/2006/relationships/hyperlink" Id="rId55"/>
    <Relationship TargetMode="External" Target="https://www.legis.iowa.gov/docs/iac/rule/441.156.6.pdf" Type="http://schemas.openxmlformats.org/officeDocument/2006/relationships/hyperlink" Id="rId56"/>
    <Relationship TargetMode="External" Target="https://www.legis.iowa.gov/docs/iac/chapter/441.152.pdf" Type="http://schemas.openxmlformats.org/officeDocument/2006/relationships/hyperlink" Id="rId57"/>
    <Relationship TargetMode="External" Target="https://www.legis.iowa.gov/docs/ico/chapter/234.35.pdf" Type="http://schemas.openxmlformats.org/officeDocument/2006/relationships/hyperlink" Id="rId58"/>
    <Relationship TargetMode="External" Target="https://www.legis.iowa.gov/docs/ico/chapter/234.38.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