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153</w:t>
      </w:r>
    </w:p>
    <w:p>
      <w:pPr>
        <w:spacing w:before="0" w:after="0"/>
        <w:ind w:left="120"/>
        <w:jc w:val="center"/>
      </w:pPr>
      <w:r>
        <w:rPr>
          <w:rFonts w:ascii="Times New Roman" w:hAnsi="Times New Roman"/>
          <w:b w:val="false"/>
          <w:i w:val="false"/>
          <w:color w:val="000000"/>
          <w:sz w:val="21"/>
        </w:rPr>
        <w:t>FUNDING FOR LOCAL SERVICES</w:t>
      </w:r>
    </w:p>
    <w:p>
      <w:pPr>
        <w:spacing w:before="0" w:after="0"/>
        <w:ind w:left="120"/>
        <w:jc w:val="center"/>
      </w:pPr>
      <w:r>
        <w:rPr>
          <w:rFonts w:ascii="Times New Roman" w:hAnsi="Times New Roman"/>
          <w:b w:val="false"/>
          <w:i w:val="false"/>
          <w:color w:val="000000"/>
          <w:sz w:val="14"/>
        </w:rPr>
        <w:t>[Prior to 7/1/83, see Social Services[770] Ch 131]</w:t>
      </w:r>
    </w:p>
    <w:p>
      <w:pPr>
        <w:spacing w:before="0" w:after="0"/>
        <w:ind w:left="120"/>
        <w:jc w:val="center"/>
      </w:pPr>
      <w:r>
        <w:rPr>
          <w:rFonts w:ascii="Times New Roman" w:hAnsi="Times New Roman"/>
          <w:b w:val="false"/>
          <w:i w:val="false"/>
          <w:color w:val="000000"/>
          <w:sz w:val="14"/>
        </w:rPr>
        <w:t>[Previously appeared as Ch 131—renumbered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SOCIAL SERVICES BLOCK GRANT</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This division sets forth the requirements for reporting required for receipt of federal social services block grant (SSBG) funds and service availability and allocation methodology related to those funds.</w:t>
      </w:r>
    </w:p>
    <w:p>
      <w:pPr>
        <w:spacing w:before="0" w:after="0"/>
        <w:ind w:left="120"/>
        <w:jc w:val="both"/>
      </w:pPr>
      <w:r>
        <w:rPr>
          <w:rFonts w:ascii="Times New Roman" w:hAnsi="Times New Roman"/>
          <w:b/>
          <w:i w:val="false"/>
          <w:color w:val="000000"/>
          <w:sz w:val="22"/>
        </w:rPr>
        <w:t>441—153.1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means services provided by staff of the department of human services to clients. This includes the administrative support necessary to maintain and oversee services. Direct services are funded with state and federal dollars.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purchase services” </w:t>
      </w:r>
      <w:r>
        <w:rPr>
          <w:rFonts w:ascii="Times New Roman" w:hAnsi="Times New Roman"/>
          <w:b w:val="false"/>
          <w:i w:val="false"/>
          <w:color w:val="000000"/>
          <w:sz w:val="22"/>
        </w:rPr>
        <w:t>means those services the department purchases in every county statewide. State purchase services are funded with state and federal funds.</w:t>
      </w:r>
    </w:p>
    <w:p>
      <w:pPr>
        <w:spacing w:before="0" w:after="0"/>
        <w:ind w:left="120"/>
        <w:jc w:val="both"/>
      </w:pPr>
      <w:r>
        <w:rPr>
          <w:rFonts w:ascii="Times New Roman" w:hAnsi="Times New Roman"/>
          <w:b/>
          <w:i w:val="false"/>
          <w:color w:val="000000"/>
          <w:sz w:val="22"/>
        </w:rPr>
        <w:t>441—153.2</w:t>
      </w:r>
      <w:r>
        <w:rPr>
          <w:rFonts w:ascii="Times New Roman" w:hAnsi="Times New Roman"/>
          <w:b/>
          <w:i w:val="false"/>
          <w:color w:val="000000"/>
          <w:sz w:val="22"/>
        </w:rPr>
        <w:t xml:space="preserve">(234) </w:t>
      </w:r>
      <w:r>
        <w:rPr>
          <w:rFonts w:ascii="Times New Roman" w:hAnsi="Times New Roman"/>
          <w:b/>
          <w:i w:val="false"/>
          <w:color w:val="000000"/>
          <w:sz w:val="22"/>
        </w:rPr>
        <w:t xml:space="preserve">Development of preexpenditure report and intended use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shall develop the social services block grant preexpenditure report and intended use plan on an annual basis. The report and plan shall be developed in accordance with the Code of Federal Regulations, Title 45, Part 96, Subpart G, as amended to December 8, 2021. The report and plan shall describe the services to be funded, in what areas services are available and the amount of funding available. The plan shall also indicate the source of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proposed preexpenditure report and intended use plan before publication of the final report and plan. The proposed report and plan shall be available for public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each local office where a service area manager is based during regular business hours for a ten-day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department’s Internet website, </w:t>
      </w:r>
      <w:hyperlink r:id="rId5">
        <w:r>
          <w:rPr>
            <w:rStyle w:val="Hyperlink"/>
            <w:rFonts w:ascii="Times New Roman" w:hAnsi="Times New Roman"/>
            <w:b w:val="false"/>
            <w:i w:val="false"/>
            <w:color w:val="000000"/>
            <w:sz w:val="22"/>
            <w:u w:val="single"/>
          </w:rPr>
          <w:t>www.dhs.iowa.gov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153.2(3)</w:t>
      </w:r>
      <w:r>
        <w:rPr>
          <w:rFonts w:ascii="Times New Roman" w:hAnsi="Times New Roman"/>
          <w:b w:val="false"/>
          <w:i w:val="false"/>
          <w:color w:val="000000"/>
          <w:sz w:val="22"/>
        </w:rPr>
        <w:t> </w:t>
      </w:r>
      <w:r>
        <w:rPr>
          <w:rFonts w:ascii="Times New Roman" w:hAnsi="Times New Roman"/>
          <w:b w:val="false"/>
          <w:i w:val="false"/>
          <w:color w:val="000000"/>
          <w:sz w:val="22"/>
        </w:rPr>
        <w:t>The time and scope of public review will be announced each year. The announcement will indicate the time the proposed report and plan can be viewed.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make this information available on the department’s Internet website, </w:t>
      </w:r>
      <w:hyperlink r:id="rId6">
        <w:r>
          <w:rPr>
            <w:rStyle w:val="Hyperlink"/>
            <w:rFonts w:ascii="Times New Roman" w:hAnsi="Times New Roman"/>
            <w:b w:val="false"/>
            <w:i w:val="false"/>
            <w:color w:val="000000"/>
            <w:sz w:val="22"/>
            <w:u w:val="single"/>
          </w:rPr>
          <w:t>www.dhs.iowa.gov</w:t>
        </w:r>
      </w:hyperlink>
      <w:r>
        <w:rPr>
          <w:rFonts w:ascii="Times New Roman" w:hAnsi="Times New Roman"/>
          <w:b w:val="false"/>
          <w:i w:val="false"/>
          <w:color w:val="000000"/>
          <w:sz w:val="22"/>
        </w:rPr>
        <w:t>, and post signs in each local human services office;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publish advertisements in each service area listing the time of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153.2(4)</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accept comments about the preexpenditure report and intended use plan during the specified public review and comment period. Individuals or groups may submit written comments to the service area manager or to the Division of Fiscal Management, Iowa Department of Human Services, Hoover State Office Building, 1305 E. Walnut Street, Des Moines, Iowa 50319-0114. The service area manager may arrange public hearings where testimony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153.2(5)</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the public comment when developing the final preexpenditure report and intended use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153.2(6)</w:t>
      </w:r>
      <w:r>
        <w:rPr>
          <w:rFonts w:ascii="Times New Roman" w:hAnsi="Times New Roman"/>
          <w:b w:val="false"/>
          <w:i w:val="false"/>
          <w:color w:val="000000"/>
          <w:sz w:val="22"/>
        </w:rPr>
        <w:t> </w:t>
      </w:r>
      <w:r>
        <w:rPr>
          <w:rFonts w:ascii="Times New Roman" w:hAnsi="Times New Roman"/>
          <w:b w:val="false"/>
          <w:i w:val="false"/>
          <w:color w:val="000000"/>
          <w:sz w:val="22"/>
        </w:rPr>
        <w:t>A copy of the final preexpenditure report and intended use plan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each local office where a service area manager is based;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department’s Internet website, </w:t>
      </w:r>
      <w:hyperlink r:id="rId7">
        <w:r>
          <w:rPr>
            <w:rStyle w:val="Hyperlink"/>
            <w:rFonts w:ascii="Times New Roman" w:hAnsi="Times New Roman"/>
            <w:b w:val="false"/>
            <w:i w:val="false"/>
            <w:color w:val="000000"/>
            <w:sz w:val="22"/>
            <w:u w:val="single"/>
          </w:rPr>
          <w:t>www.dhs.iowa.gov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441—153.3</w:t>
      </w:r>
      <w:r>
        <w:rPr>
          <w:rFonts w:ascii="Times New Roman" w:hAnsi="Times New Roman"/>
          <w:b/>
          <w:i w:val="false"/>
          <w:color w:val="000000"/>
          <w:sz w:val="22"/>
        </w:rPr>
        <w:t xml:space="preserve">(234) </w:t>
      </w:r>
      <w:r>
        <w:rPr>
          <w:rFonts w:ascii="Times New Roman" w:hAnsi="Times New Roman"/>
          <w:b/>
          <w:i w:val="false"/>
          <w:color w:val="000000"/>
          <w:sz w:val="22"/>
        </w:rPr>
        <w:t xml:space="preserve">Amendment to preexpenditure report and intended use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153.3(1)</w:t>
      </w:r>
      <w:r>
        <w:rPr>
          <w:rFonts w:ascii="Times New Roman" w:hAnsi="Times New Roman"/>
          <w:b w:val="false"/>
          <w:i w:val="false"/>
          <w:color w:val="000000"/>
          <w:sz w:val="22"/>
        </w:rPr>
        <w:t> </w:t>
      </w:r>
      <w:r>
        <w:rPr>
          <w:rFonts w:ascii="Times New Roman" w:hAnsi="Times New Roman"/>
          <w:b w:val="false"/>
          <w:i w:val="false"/>
          <w:color w:val="000000"/>
          <w:sz w:val="22"/>
        </w:rPr>
        <w:t>The preexpenditure report and intended use plan may be amended throughout the year. The department may file an amendment changing the kind, scope or duration of a service. Decisions to change a direct service or state purchase service will be made by the department.</w:t>
      </w:r>
    </w:p>
    <w:p>
      <w:pPr>
        <w:spacing w:before="0" w:after="0"/>
        <w:ind w:left="120"/>
        <w:jc w:val="both"/>
      </w:pPr>
      <w:r>
        <w:rPr>
          <w:rFonts w:ascii="Times New Roman" w:hAnsi="Times New Roman"/>
          <w:b w:val="false"/>
          <w:i w:val="false"/>
          <w:color w:val="000000"/>
          <w:sz w:val="22"/>
        </w:rPr>
        <w:t>Prior to filing an amendment, the department will evaluate available funds and the effect any change will have on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153.3(2)</w:t>
      </w:r>
      <w:r>
        <w:rPr>
          <w:rFonts w:ascii="Times New Roman" w:hAnsi="Times New Roman"/>
          <w:b w:val="false"/>
          <w:i w:val="false"/>
          <w:color w:val="000000"/>
          <w:sz w:val="22"/>
        </w:rPr>
        <w:t> </w:t>
      </w:r>
      <w:r>
        <w:rPr>
          <w:rFonts w:ascii="Times New Roman" w:hAnsi="Times New Roman"/>
          <w:b w:val="false"/>
          <w:i w:val="false"/>
          <w:color w:val="000000"/>
          <w:sz w:val="22"/>
        </w:rPr>
        <w:t>An amendment in the preexpenditure report and intended use plan will be posted in the local offices affected by the amendment at least 30 days prior to the effective date of the change. However, in the event funding for the service has been exhausted, an amendment shall be posted immediately notifying the public that the service will no longer be available. The service area manager will, whenever possible, give advance notice of a service termination made necessary because funds have been exhausted. When a service is added or extended, an amendment may be posted immediately and a 30-day posting period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153.3(3)</w:t>
      </w:r>
      <w:r>
        <w:rPr>
          <w:rFonts w:ascii="Times New Roman" w:hAnsi="Times New Roman"/>
          <w:b w:val="false"/>
          <w:i w:val="false"/>
          <w:color w:val="000000"/>
          <w:sz w:val="22"/>
        </w:rPr>
        <w:t> </w:t>
      </w:r>
      <w:r>
        <w:rPr>
          <w:rFonts w:ascii="Times New Roman" w:hAnsi="Times New Roman"/>
          <w:b w:val="false"/>
          <w:i w:val="false"/>
          <w:color w:val="000000"/>
          <w:sz w:val="22"/>
        </w:rPr>
        <w:t>Individuals or groups may submit written comments to the service area manager or to the Division of Fiscal Management, Iowa Department of Human Services, Hoover State Office Building, 1305 E. Walnut Street,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153.3(4)</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will supersede the requirement for notifying clients of adverse action as provided in </w:t>
      </w:r>
      <w:hyperlink r:id="rId8">
        <w:r>
          <w:rPr>
            <w:rStyle w:val="Hyperlink"/>
            <w:rFonts w:ascii="Times New Roman" w:hAnsi="Times New Roman"/>
            <w:b w:val="false"/>
            <w:i w:val="false"/>
            <w:color w:val="000000"/>
            <w:sz w:val="22"/>
          </w:rPr>
          <w:t>441—130.5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441—153.4</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 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153.4(1)</w:t>
      </w:r>
      <w:r>
        <w:rPr>
          <w:rFonts w:ascii="Times New Roman" w:hAnsi="Times New Roman"/>
          <w:b w:val="false"/>
          <w:i w:val="false"/>
          <w:color w:val="000000"/>
          <w:sz w:val="22"/>
        </w:rPr>
        <w:t> </w:t>
      </w:r>
      <w:r>
        <w:rPr>
          <w:rFonts w:ascii="Times New Roman" w:hAnsi="Times New Roman"/>
          <w:b w:val="false"/>
          <w:i w:val="false"/>
          <w:color w:val="000000"/>
          <w:sz w:val="22"/>
        </w:rPr>
        <w:t>A client shall apply for services in the appropriate office of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determine eligibility according to </w:t>
      </w:r>
      <w:hyperlink r:id="rId9">
        <w:r>
          <w:rPr>
            <w:rStyle w:val="Hyperlink"/>
            <w:rFonts w:ascii="Times New Roman" w:hAnsi="Times New Roman"/>
            <w:b w:val="false"/>
            <w:i w:val="false"/>
            <w:color w:val="000000"/>
            <w:sz w:val="22"/>
          </w:rPr>
          <w:t>441—130.3</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develop a case plan to monitor the client’s progress toward achieving goals as identified in </w:t>
      </w:r>
      <w:hyperlink r:id="rId10">
        <w:r>
          <w:rPr>
            <w:rStyle w:val="Hyperlink"/>
            <w:rFonts w:ascii="Times New Roman" w:hAnsi="Times New Roman"/>
            <w:b w:val="false"/>
            <w:i w:val="false"/>
            <w:color w:val="000000"/>
            <w:sz w:val="22"/>
          </w:rPr>
          <w:t>441—130.7</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153.4(2)</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client shall receive a service for which the client is eligible, subject to the provisions of </w:t>
      </w:r>
      <w:hyperlink r:id="rId11">
        <w:r>
          <w:rPr>
            <w:rStyle w:val="Hyperlink"/>
            <w:rFonts w:ascii="Times New Roman" w:hAnsi="Times New Roman"/>
            <w:b w:val="false"/>
            <w:i w:val="false"/>
            <w:color w:val="000000"/>
            <w:sz w:val="22"/>
          </w:rPr>
          <w:t>441—Chapter 130</w:t>
        </w:r>
      </w:hyperlink>
      <w:r>
        <w:rPr>
          <w:rFonts w:ascii="Times New Roman" w:hAnsi="Times New Roman"/>
          <w:b w:val="false"/>
          <w:i w:val="false"/>
          <w:color w:val="000000"/>
          <w:sz w:val="22"/>
        </w:rPr>
        <w:t>, when the service is listed in the geographic area in which the client resides. The geographic area for direct and state purchase is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153.4(3)</w:t>
      </w:r>
      <w:r>
        <w:rPr>
          <w:rFonts w:ascii="Times New Roman" w:hAnsi="Times New Roman"/>
          <w:b w:val="false"/>
          <w:i w:val="false"/>
          <w:color w:val="000000"/>
          <w:sz w:val="22"/>
        </w:rPr>
        <w:t> </w:t>
      </w:r>
      <w:r>
        <w:rPr>
          <w:rFonts w:ascii="Times New Roman" w:hAnsi="Times New Roman"/>
          <w:b w:val="false"/>
          <w:i w:val="false"/>
          <w:color w:val="000000"/>
          <w:sz w:val="22"/>
        </w:rPr>
        <w:t>To the extent federal law prohibits use of federal funds for provision of social service block grant services to persons the department has defined as eligible, state funds shall be used to pay for these services.</w:t>
      </w:r>
    </w:p>
    <w:p>
      <w:pPr>
        <w:spacing w:before="0" w:after="0"/>
        <w:ind w:left="120"/>
        <w:jc w:val="both"/>
      </w:pPr>
      <w:r>
        <w:rPr>
          <w:rFonts w:ascii="Times New Roman" w:hAnsi="Times New Roman"/>
          <w:b/>
          <w:i w:val="false"/>
          <w:color w:val="000000"/>
          <w:sz w:val="22"/>
        </w:rPr>
        <w:t>441—153.5</w:t>
      </w:r>
      <w:r>
        <w:rPr>
          <w:rFonts w:ascii="Times New Roman" w:hAnsi="Times New Roman"/>
          <w:b/>
          <w:i w:val="false"/>
          <w:color w:val="000000"/>
          <w:sz w:val="22"/>
        </w:rPr>
        <w:t xml:space="preserve">(234) </w:t>
      </w:r>
      <w:r>
        <w:rPr>
          <w:rFonts w:ascii="Times New Roman" w:hAnsi="Times New Roman"/>
          <w:b/>
          <w:i w:val="false"/>
          <w:color w:val="000000"/>
          <w:sz w:val="22"/>
        </w:rPr>
        <w:t xml:space="preserve">Allocation of block grant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153.5(1)</w:t>
      </w:r>
      <w:r>
        <w:rPr>
          <w:rFonts w:ascii="Times New Roman" w:hAnsi="Times New Roman"/>
          <w:b w:val="false"/>
          <w:i w:val="false"/>
          <w:color w:val="000000"/>
          <w:sz w:val="22"/>
        </w:rPr>
        <w:t> </w:t>
      </w:r>
      <w:r>
        <w:rPr>
          <w:rFonts w:ascii="Times New Roman" w:hAnsi="Times New Roman"/>
          <w:b w:val="false"/>
          <w:i w:val="false"/>
          <w:color w:val="000000"/>
          <w:sz w:val="22"/>
        </w:rPr>
        <w:t>The department shall follow a cost allocation plan for determining the appropriate administrative costs to be funded with block grant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153.5(2)</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for services shall be allocated in accordance with the annual budgeting process. The department’s annual budget is available for review on the department’s Internet website at </w:t>
      </w:r>
      <w:hyperlink r:id="rId12">
        <w:r>
          <w:rPr>
            <w:rStyle w:val="Hyperlink"/>
            <w:rFonts w:ascii="Times New Roman" w:hAnsi="Times New Roman"/>
            <w:b w:val="false"/>
            <w:i w:val="false"/>
            <w:color w:val="000000"/>
            <w:sz w:val="22"/>
            <w:u w:val="single"/>
          </w:rPr>
          <w:t>www.dhs.iowa.gov</w:t>
        </w:r>
      </w:hyperlink>
      <w:r>
        <w:rPr>
          <w:rFonts w:ascii="Times New Roman" w:hAnsi="Times New Roman"/>
          <w:b w:val="false"/>
          <w:i w:val="false"/>
          <w:color w:val="000000"/>
          <w:sz w:val="22"/>
        </w:rPr>
        <w:t>. Costs may be shifted in and between service areas to ensure continued statewide availability of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441—153.6</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441—153.7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441—153.8</w:t>
      </w:r>
      <w:r>
        <w:rPr>
          <w:rFonts w:ascii="Times New Roman" w:hAnsi="Times New Roman"/>
          <w:b/>
          <w:i w:val="false"/>
          <w:color w:val="000000"/>
          <w:sz w:val="22"/>
        </w:rPr>
        <w:t xml:space="preserve">(234) </w:t>
      </w:r>
      <w:r>
        <w:rPr>
          <w:rFonts w:ascii="Times New Roman" w:hAnsi="Times New Roman"/>
          <w:b/>
          <w:i w:val="false"/>
          <w:color w:val="000000"/>
          <w:sz w:val="22"/>
        </w:rPr>
        <w:t xml:space="preserve">Expenditure of supplemental funds. </w:t>
      </w:r>
      <w:r>
        <w:rPr>
          <w:rFonts w:ascii="Times New Roman" w:hAnsi="Times New Roman"/>
          <w:b w:val="false"/>
          <w:i w:val="false"/>
          <w:color w:val="000000"/>
          <w:sz w:val="22"/>
        </w:rPr>
        <w:t>When supplemental funds are issued through the social services block grant as emergency disaster relief, the department shall administer the funds in compliance with the terms of the federal award rather than the provisions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7641B</w:t>
      </w:r>
      <w:r>
        <w:rPr>
          <w:rFonts w:ascii="Times New Roman" w:hAnsi="Times New Roman"/>
          <w:b w:val="false"/>
          <w:i w:val="false"/>
          <w:color w:val="000000"/>
          <w:sz w:val="16"/>
        </w:rPr>
        <w:t>, IAB 3/25/09, effective 3/1/09</w:t>
      </w:r>
      <w:r>
        <w:rPr>
          <w:rFonts w:ascii="Times New Roman" w:hAnsi="Times New Roman"/>
          <w:b w:val="false"/>
          <w:i w:val="false"/>
          <w:color w:val="000000"/>
          <w:sz w:val="16"/>
        </w:rPr>
        <w:t xml:space="preserve">; </w:t>
      </w:r>
      <w:r>
        <w:rPr>
          <w:rFonts w:ascii="Times New Roman" w:hAnsi="Times New Roman"/>
          <w:b/>
          <w:i w:val="false"/>
          <w:color w:val="000000"/>
          <w:sz w:val="16"/>
        </w:rPr>
        <w:t>ARC 7830B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441—153.9</w:t>
      </w:r>
      <w:r>
        <w:rPr>
          <w:rFonts w:ascii="Times New Roman" w:hAnsi="Times New Roman"/>
          <w:b w:val="false"/>
          <w:i w:val="false"/>
          <w:color w:val="000000"/>
          <w:sz w:val="22"/>
        </w:rPr>
        <w:t xml:space="preserve"> and </w:t>
      </w:r>
      <w:r>
        <w:rPr>
          <w:rFonts w:ascii="Times New Roman" w:hAnsi="Times New Roman"/>
          <w:b/>
          <w:i w:val="false"/>
          <w:color w:val="000000"/>
          <w:sz w:val="22"/>
        </w:rPr>
        <w:t>153.10</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DECATEGORIZATION OF CHILD WELFARE AND JUVENILE JUSTICE FUNDING</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Decategorization of child welfare and juvenile justice funding is an initiative intended to establish systems of delivering human services based upon client needs that replace systems based upon a multitude of categorical funding programs and funding sources, each with different service definitions and eligibility requirements. Decategorization is designed to redirect child welfare and juvenile justice funding to services that are more preventive, family-centered, and community-based in order to reduce use of restrictive approaches that rely on institutional, out-of-home, and out-of-community care.</w:t>
      </w:r>
    </w:p>
    <w:p>
      <w:pPr>
        <w:spacing w:before="0" w:after="0"/>
        <w:ind w:left="120"/>
        <w:jc w:val="both"/>
      </w:pPr>
      <w:r>
        <w:rPr>
          <w:rFonts w:ascii="Times New Roman" w:hAnsi="Times New Roman"/>
          <w:b/>
          <w:i w:val="false"/>
          <w:color w:val="000000"/>
          <w:sz w:val="22"/>
        </w:rPr>
        <w:t>441—153.11</w:t>
      </w:r>
      <w:r>
        <w:rPr>
          <w:rFonts w:ascii="Times New Roman" w:hAnsi="Times New Roman"/>
          <w:b/>
          <w:i w:val="false"/>
          <w:color w:val="000000"/>
          <w:sz w:val="22"/>
        </w:rPr>
        <w:t xml:space="preserve">(232)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division,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“Budget accountability” </w:t>
      </w:r>
      <w:r>
        <w:rPr>
          <w:rFonts w:ascii="Times New Roman" w:hAnsi="Times New Roman"/>
          <w:b w:val="false"/>
          <w:i w:val="false"/>
          <w:color w:val="000000"/>
          <w:sz w:val="22"/>
        </w:rPr>
        <w:t>means that expenditures for decategorization services from a decategorization project’s funding pool during the state fiscal year do not exceed the total amount of funding available in the funding pool for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“Carryover funding” </w:t>
      </w:r>
      <w:r>
        <w:rPr>
          <w:rFonts w:ascii="Times New Roman" w:hAnsi="Times New Roman"/>
          <w:b w:val="false"/>
          <w:i w:val="false"/>
          <w:color w:val="000000"/>
          <w:sz w:val="22"/>
        </w:rPr>
        <w:t>means moneys designated for a project’s decategorization services funding pool that remain unencumbered or unobligated at the close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juvenile court officer” </w:t>
      </w:r>
      <w:r>
        <w:rPr>
          <w:rFonts w:ascii="Times New Roman" w:hAnsi="Times New Roman"/>
          <w:b w:val="false"/>
          <w:i w:val="false"/>
          <w:color w:val="000000"/>
          <w:sz w:val="22"/>
        </w:rPr>
        <w:t>mean the judicial department official responsible for managing and supervising juvenile court services operations within one of the eight judicial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“Decategorization” </w:t>
      </w:r>
      <w:r>
        <w:rPr>
          <w:rFonts w:ascii="Times New Roman" w:hAnsi="Times New Roman"/>
          <w:b w:val="false"/>
          <w:i w:val="false"/>
          <w:color w:val="000000"/>
          <w:sz w:val="22"/>
        </w:rPr>
        <w:t xml:space="preserve">means an initiative established pursuant to Iowa Code section </w:t>
      </w:r>
      <w:hyperlink r:id="rId14">
        <w:r>
          <w:rPr>
            <w:rStyle w:val="Hyperlink"/>
            <w:rFonts w:ascii="Times New Roman" w:hAnsi="Times New Roman"/>
            <w:b w:val="false"/>
            <w:i w:val="false"/>
            <w:color w:val="000000"/>
            <w:sz w:val="22"/>
          </w:rPr>
          <w:t>232.188</w:t>
        </w:r>
      </w:hyperlink>
      <w:r>
        <w:rPr>
          <w:rFonts w:ascii="Times New Roman" w:hAnsi="Times New Roman"/>
          <w:b w:val="false"/>
          <w:i w:val="false"/>
          <w:color w:val="000000"/>
          <w:sz w:val="22"/>
        </w:rPr>
        <w:t xml:space="preserve"> that is designed to redirect child welfare and juvenile justice funding to services that are more preventive, family-centered, and community-based in order to reduce use of more restrictive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“Decategorization agreement” </w:t>
      </w:r>
      <w:r>
        <w:rPr>
          <w:rFonts w:ascii="Times New Roman" w:hAnsi="Times New Roman"/>
          <w:b w:val="false"/>
          <w:i w:val="false"/>
          <w:color w:val="000000"/>
          <w:sz w:val="22"/>
        </w:rPr>
        <w:t xml:space="preserve">means the agreement entered into among representatives of the department of human services, juvenile court services, and the county government in one or more counties to implement a decategorization project in accordance with the requirements of Iowa Code section </w:t>
      </w:r>
      <w:hyperlink r:id="rId15">
        <w:r>
          <w:rPr>
            <w:rStyle w:val="Hyperlink"/>
            <w:rFonts w:ascii="Times New Roman" w:hAnsi="Times New Roman"/>
            <w:b w:val="false"/>
            <w:i w:val="false"/>
            <w:color w:val="000000"/>
            <w:sz w:val="22"/>
          </w:rPr>
          <w:t>232.188</w:t>
        </w:r>
      </w:hyperlink>
      <w:r>
        <w:rPr>
          <w:rFonts w:ascii="Times New Roman" w:hAnsi="Times New Roman"/>
          <w:b w:val="false"/>
          <w:i w:val="false"/>
          <w:color w:val="000000"/>
          <w:sz w:val="22"/>
        </w:rPr>
        <w:t xml:space="preserve">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“Decategorization project” </w:t>
      </w:r>
      <w:r>
        <w:rPr>
          <w:rFonts w:ascii="Times New Roman" w:hAnsi="Times New Roman"/>
          <w:b w:val="false"/>
          <w:i w:val="false"/>
          <w:color w:val="000000"/>
          <w:sz w:val="22"/>
        </w:rPr>
        <w:t>means the county or counties that have entered into a decategorization agreement to implement the decategorization initiative in the county or multicounty area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“Decategorization services funding pool”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“funding pool” </w:t>
      </w:r>
      <w:r>
        <w:rPr>
          <w:rFonts w:ascii="Times New Roman" w:hAnsi="Times New Roman"/>
          <w:b w:val="false"/>
          <w:i w:val="false"/>
          <w:color w:val="000000"/>
          <w:sz w:val="22"/>
        </w:rPr>
        <w:t>means the funding designated for a decategorization project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“Governance board” </w:t>
      </w:r>
      <w:r>
        <w:rPr>
          <w:rFonts w:ascii="Times New Roman" w:hAnsi="Times New Roman"/>
          <w:b w:val="false"/>
          <w:i w:val="false"/>
          <w:color w:val="000000"/>
          <w:sz w:val="22"/>
        </w:rPr>
        <w:t>means a decategorization governance board, which is the group that enters into and implements a decategorization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manager” </w:t>
      </w:r>
      <w:r>
        <w:rPr>
          <w:rFonts w:ascii="Times New Roman" w:hAnsi="Times New Roman"/>
          <w:b w:val="false"/>
          <w:i w:val="false"/>
          <w:color w:val="000000"/>
          <w:sz w:val="22"/>
        </w:rPr>
        <w:t>means the department official responsible for managing the department’s programs, operations, and child welfare budget within one of the six department service areas. The centralized service area does not utilize decategorization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“Unencumbered or unobligated” </w:t>
      </w:r>
      <w:r>
        <w:rPr>
          <w:rFonts w:ascii="Times New Roman" w:hAnsi="Times New Roman"/>
          <w:b w:val="false"/>
          <w:i w:val="false"/>
          <w:color w:val="000000"/>
          <w:sz w:val="22"/>
        </w:rPr>
        <w:t>means funding within a decategorization services funding pool that is not spent by the project’s governance board for a specific program or purpose by the close of the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441—153.12</w:t>
      </w:r>
      <w:r>
        <w:rPr>
          <w:rFonts w:ascii="Times New Roman" w:hAnsi="Times New Roman"/>
          <w:b/>
          <w:i w:val="false"/>
          <w:color w:val="000000"/>
          <w:sz w:val="22"/>
        </w:rPr>
        <w:t xml:space="preserve">(232) </w:t>
      </w:r>
      <w:r>
        <w:rPr>
          <w:rFonts w:ascii="Times New Roman" w:hAnsi="Times New Roman"/>
          <w:b/>
          <w:i w:val="false"/>
          <w:color w:val="000000"/>
          <w:sz w:val="22"/>
        </w:rPr>
        <w:t xml:space="preserve">Implementation requirements. </w:t>
      </w:r>
      <w:r>
        <w:rPr>
          <w:rFonts w:ascii="Times New Roman" w:hAnsi="Times New Roman"/>
          <w:b w:val="false"/>
          <w:i w:val="false"/>
          <w:color w:val="000000"/>
          <w:sz w:val="22"/>
        </w:rPr>
        <w:t>The decategorization initiative shall be implemented through the creation and operation of decategorization projects in department service areas that utilize decategorization services. One or more counties may jointly agree to form a decategorization project to implement the initiative. The decategorization initiative shall be implemented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153.12(1)</w:t>
      </w:r>
      <w:r>
        <w:rPr>
          <w:rFonts w:ascii="Times New Roman" w:hAnsi="Times New Roman"/>
          <w:b w:val="false"/>
          <w:i w:val="false"/>
          <w:color w:val="000000"/>
          <w:sz w:val="22"/>
        </w:rPr>
        <w:t> </w:t>
      </w:r>
      <w:r>
        <w:rPr>
          <w:rFonts w:ascii="Times New Roman" w:hAnsi="Times New Roman"/>
          <w:b w:val="false"/>
          <w:i/>
          <w:color w:val="000000"/>
          <w:sz w:val="22"/>
        </w:rPr>
        <w:t xml:space="preserve">Decategorization agreement. </w:t>
      </w:r>
      <w:r>
        <w:rPr>
          <w:rFonts w:ascii="Times New Roman" w:hAnsi="Times New Roman"/>
          <w:b w:val="false"/>
          <w:i w:val="false"/>
          <w:color w:val="000000"/>
          <w:sz w:val="22"/>
        </w:rPr>
        <w:t>Representatives from the department, juvenile court services, and county government within the county or counties interested in forming a decategorization project shall develop a written agreement to work together to implement decategorization.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153.12(2)</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w:t>
      </w:r>
      <w:r>
        <w:rPr>
          <w:rFonts w:ascii="Times New Roman" w:hAnsi="Times New Roman"/>
          <w:b w:val="false"/>
          <w:i w:val="false"/>
          <w:color w:val="000000"/>
          <w:sz w:val="22"/>
        </w:rPr>
        <w:t>A decategorization project must request and receive approval from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153.12(3)</w:t>
      </w:r>
      <w:r>
        <w:rPr>
          <w:rFonts w:ascii="Times New Roman" w:hAnsi="Times New Roman"/>
          <w:b w:val="false"/>
          <w:i w:val="false"/>
          <w:color w:val="000000"/>
          <w:sz w:val="22"/>
        </w:rPr>
        <w:t> </w:t>
      </w:r>
      <w:r>
        <w:rPr>
          <w:rFonts w:ascii="Times New Roman" w:hAnsi="Times New Roman"/>
          <w:b w:val="false"/>
          <w:i/>
          <w:color w:val="000000"/>
          <w:sz w:val="22"/>
        </w:rPr>
        <w:t xml:space="preserve">Governance board. </w:t>
      </w:r>
      <w:r>
        <w:rPr>
          <w:rFonts w:ascii="Times New Roman" w:hAnsi="Times New Roman"/>
          <w:b w:val="false"/>
          <w:i w:val="false"/>
          <w:color w:val="000000"/>
          <w:sz w:val="22"/>
        </w:rPr>
        <w:t>A decategorization project shall be implemented by a decategorization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director shall ensure that each decategorization project has an operating governance board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Representatives designated by administrators of the department and of juvenile court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Officials with the authority to represent county government in the affected county or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Decategorization projects may choose to expand their governance boards to include representatives from other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153.12(4)</w:t>
      </w:r>
      <w:r>
        <w:rPr>
          <w:rFonts w:ascii="Times New Roman" w:hAnsi="Times New Roman"/>
          <w:b w:val="false"/>
          <w:i w:val="false"/>
          <w:color w:val="000000"/>
          <w:sz w:val="22"/>
        </w:rPr>
        <w:t> </w:t>
      </w:r>
      <w:r>
        <w:rPr>
          <w:rFonts w:ascii="Times New Roman" w:hAnsi="Times New Roman"/>
          <w:b w:val="false"/>
          <w:i/>
          <w:color w:val="000000"/>
          <w:sz w:val="22"/>
        </w:rPr>
        <w:t xml:space="preserve">Department information. </w:t>
      </w:r>
      <w:r>
        <w:rPr>
          <w:rFonts w:ascii="Times New Roman" w:hAnsi="Times New Roman"/>
          <w:b w:val="false"/>
          <w:i w:val="false"/>
          <w:color w:val="000000"/>
          <w:sz w:val="22"/>
        </w:rPr>
        <w:t>The service area manager shall provide the governance board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concerning the department service area’s funding allocation for department-administered child welfare service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service area’s child welfare and juvenile justice annual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153.12(5)</w:t>
      </w:r>
      <w:r>
        <w:rPr>
          <w:rFonts w:ascii="Times New Roman" w:hAnsi="Times New Roman"/>
          <w:b w:val="false"/>
          <w:i w:val="false"/>
          <w:color w:val="000000"/>
          <w:sz w:val="22"/>
        </w:rPr>
        <w:t> </w:t>
      </w:r>
      <w:r>
        <w:rPr>
          <w:rFonts w:ascii="Times New Roman" w:hAnsi="Times New Roman"/>
          <w:b w:val="false"/>
          <w:i/>
          <w:color w:val="000000"/>
          <w:sz w:val="22"/>
        </w:rPr>
        <w:t xml:space="preserve">Juvenile justice information. </w:t>
      </w:r>
      <w:r>
        <w:rPr>
          <w:rFonts w:ascii="Times New Roman" w:hAnsi="Times New Roman"/>
          <w:b w:val="false"/>
          <w:i w:val="false"/>
          <w:color w:val="000000"/>
          <w:sz w:val="22"/>
        </w:rPr>
        <w:t>The chief juvenile court officer shall provide the governance board with information on the judicial district’s allocation of funding for juvenile justice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153.12(6)</w:t>
      </w:r>
      <w:r>
        <w:rPr>
          <w:rFonts w:ascii="Times New Roman" w:hAnsi="Times New Roman"/>
          <w:b w:val="false"/>
          <w:i w:val="false"/>
          <w:color w:val="000000"/>
          <w:sz w:val="22"/>
        </w:rPr>
        <w:t> </w:t>
      </w:r>
      <w:r>
        <w:rPr>
          <w:rFonts w:ascii="Times New Roman" w:hAnsi="Times New Roman"/>
          <w:b w:val="false"/>
          <w:i/>
          <w:color w:val="000000"/>
          <w:sz w:val="22"/>
        </w:rPr>
        <w:t xml:space="preserve">Support and coordination. </w:t>
      </w:r>
      <w:r>
        <w:rPr>
          <w:rFonts w:ascii="Times New Roman" w:hAnsi="Times New Roman"/>
          <w:b w:val="false"/>
          <w:i w:val="false"/>
          <w:color w:val="000000"/>
          <w:sz w:val="22"/>
        </w:rPr>
        <w:t>The department service area manager and the chief juvenile court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with the governance board throughout each state fiscal year to coordinate planning and to target resources most effectively.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Regularly provide the governance board with available data concerning child welfare and juvenile justice needs, service trends and expenditures, child welfare and juvenile justice outcomes, and other relevant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with the governance board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board planning and service development;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Promote effective alignment of available financial resources to enhance preventive, family-centered, and community-based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441—153.13</w:t>
      </w:r>
      <w:r>
        <w:rPr>
          <w:rFonts w:ascii="Times New Roman" w:hAnsi="Times New Roman"/>
          <w:b/>
          <w:i w:val="false"/>
          <w:color w:val="000000"/>
          <w:sz w:val="22"/>
        </w:rPr>
        <w:t xml:space="preserve">(232) </w:t>
      </w:r>
      <w:r>
        <w:rPr>
          <w:rFonts w:ascii="Times New Roman" w:hAnsi="Times New Roman"/>
          <w:b/>
          <w:i w:val="false"/>
          <w:color w:val="000000"/>
          <w:sz w:val="22"/>
        </w:rPr>
        <w:t xml:space="preserve">Role and responsibilities of decategorization project governance boards. </w:t>
      </w:r>
      <w:r>
        <w:rPr>
          <w:rFonts w:ascii="Times New Roman" w:hAnsi="Times New Roman"/>
          <w:b w:val="false"/>
          <w:i w:val="false"/>
          <w:color w:val="000000"/>
          <w:sz w:val="22"/>
        </w:rPr>
        <w:t>The governance board of a decategorization project shall have the following authority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153.13(1)</w:t>
      </w:r>
      <w:r>
        <w:rPr>
          <w:rFonts w:ascii="Times New Roman" w:hAnsi="Times New Roman"/>
          <w:b w:val="false"/>
          <w:i w:val="false"/>
          <w:color w:val="000000"/>
          <w:sz w:val="22"/>
        </w:rPr>
        <w:t> </w:t>
      </w:r>
      <w:r>
        <w:rPr>
          <w:rFonts w:ascii="Times New Roman" w:hAnsi="Times New Roman"/>
          <w:b w:val="false"/>
          <w:i/>
          <w:color w:val="000000"/>
          <w:sz w:val="22"/>
        </w:rPr>
        <w:t xml:space="preserve">Rules of operation. </w:t>
      </w:r>
      <w:r>
        <w:rPr>
          <w:rFonts w:ascii="Times New Roman" w:hAnsi="Times New Roman"/>
          <w:b w:val="false"/>
          <w:i w:val="false"/>
          <w:color w:val="000000"/>
          <w:sz w:val="22"/>
        </w:rPr>
        <w:t>The governance board shall establish and adopt written rules of operation that are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153.13(2)</w:t>
      </w:r>
      <w:r>
        <w:rPr>
          <w:rFonts w:ascii="Times New Roman" w:hAnsi="Times New Roman"/>
          <w:b w:val="false"/>
          <w:i w:val="false"/>
          <w:color w:val="000000"/>
          <w:sz w:val="22"/>
        </w:rPr>
        <w:t> </w:t>
      </w:r>
      <w:r>
        <w:rPr>
          <w:rFonts w:ascii="Times New Roman" w:hAnsi="Times New Roman"/>
          <w:b w:val="false"/>
          <w:i/>
          <w:color w:val="000000"/>
          <w:sz w:val="22"/>
        </w:rPr>
        <w:t xml:space="preserve">Open meetings and records. </w:t>
      </w:r>
      <w:r>
        <w:rPr>
          <w:rFonts w:ascii="Times New Roman" w:hAnsi="Times New Roman"/>
          <w:b w:val="false"/>
          <w:i w:val="false"/>
          <w:color w:val="000000"/>
          <w:sz w:val="22"/>
        </w:rPr>
        <w:t xml:space="preserve">The governance board shall adhere to statutory requirements for government bodies concerning open meetings and open records procedures as specified in Iowa Code chapters </w:t>
      </w:r>
      <w:hyperlink r:id="rId1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153.13(3)</w:t>
      </w:r>
      <w:r>
        <w:rPr>
          <w:rFonts w:ascii="Times New Roman" w:hAnsi="Times New Roman"/>
          <w:b w:val="false"/>
          <w:i w:val="false"/>
          <w:color w:val="000000"/>
          <w:sz w:val="22"/>
        </w:rPr>
        <w:t> </w:t>
      </w:r>
      <w:r>
        <w:rPr>
          <w:rFonts w:ascii="Times New Roman" w:hAnsi="Times New Roman"/>
          <w:b w:val="false"/>
          <w:i/>
          <w:color w:val="000000"/>
          <w:sz w:val="22"/>
        </w:rPr>
        <w:t xml:space="preserve">Coordination. </w:t>
      </w:r>
      <w:r>
        <w:rPr>
          <w:rFonts w:ascii="Times New Roman" w:hAnsi="Times New Roman"/>
          <w:b w:val="false"/>
          <w:i w:val="false"/>
          <w:color w:val="000000"/>
          <w:sz w:val="22"/>
        </w:rPr>
        <w:t>The governance board shall coordinate project planning, decategorization service decisions, and budget planning activities with the service area manager and the chief juvenile court officer for the county or counties comprising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153.13(4)</w:t>
      </w:r>
      <w:r>
        <w:rPr>
          <w:rFonts w:ascii="Times New Roman" w:hAnsi="Times New Roman"/>
          <w:b w:val="false"/>
          <w:i w:val="false"/>
          <w:color w:val="000000"/>
          <w:sz w:val="22"/>
        </w:rPr>
        <w:t> </w:t>
      </w:r>
      <w:r>
        <w:rPr>
          <w:rFonts w:ascii="Times New Roman" w:hAnsi="Times New Roman"/>
          <w:b w:val="false"/>
          <w:i/>
          <w:color w:val="000000"/>
          <w:sz w:val="22"/>
        </w:rPr>
        <w:t xml:space="preserve">Right to services. </w:t>
      </w:r>
      <w:r>
        <w:rPr>
          <w:rFonts w:ascii="Times New Roman" w:hAnsi="Times New Roman"/>
          <w:b w:val="false"/>
          <w:i w:val="false"/>
          <w:color w:val="000000"/>
          <w:sz w:val="22"/>
        </w:rPr>
        <w:t>The governance board shall implement the decategorization initiative in a manner that does not limit the legal rights of children and families to receive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153.13(5)</w:t>
      </w:r>
      <w:r>
        <w:rPr>
          <w:rFonts w:ascii="Times New Roman" w:hAnsi="Times New Roman"/>
          <w:b w:val="false"/>
          <w:i w:val="false"/>
          <w:color w:val="000000"/>
          <w:sz w:val="22"/>
        </w:rPr>
        <w:t> </w:t>
      </w:r>
      <w:r>
        <w:rPr>
          <w:rFonts w:ascii="Times New Roman" w:hAnsi="Times New Roman"/>
          <w:b w:val="false"/>
          <w:i/>
          <w:color w:val="000000"/>
          <w:sz w:val="22"/>
        </w:rPr>
        <w:t xml:space="preserve">Community service planning. </w:t>
      </w:r>
      <w:r>
        <w:rPr>
          <w:rFonts w:ascii="Times New Roman" w:hAnsi="Times New Roman"/>
          <w:b w:val="false"/>
          <w:i w:val="false"/>
          <w:color w:val="000000"/>
          <w:sz w:val="22"/>
        </w:rPr>
        <w:t>The governance board shall undertake community planning activities within the county or counties comprising the project. These activities shall be designed to develop services that are more preventive, family-centered, and community-based.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part of decategorization community planning, the governance board shall partner with other community stakeholders to develop service alternatives that provide less restrictive levels of care for children and families within the project area. The governance board shall involve community representatives, including representatives for families and youth and for county organizations, in the development of specific and quantifiable short-term and long-term plans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Enhancing preventive, family-centered, and community-based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Reducing reliance on out-of-community care and restrictive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community planning, the governance board may use information from federal reviews of Iowa’s child welfare system and indicators and outcomes from other community planning efforts. The governance board shall coordinate its community planning efforts as much as possible with those of other planning entities in the community, such as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Communities of promise;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Early childhood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United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Community partnerships for protecting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Comprehensive school improvement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Comprehensive substance abuse agency planning;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Substance-abuse-free environment (SAFE) program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153.13(6)</w:t>
      </w:r>
      <w:r>
        <w:rPr>
          <w:rFonts w:ascii="Times New Roman" w:hAnsi="Times New Roman"/>
          <w:b w:val="false"/>
          <w:i w:val="false"/>
          <w:color w:val="000000"/>
          <w:sz w:val="22"/>
        </w:rPr>
        <w:t> </w:t>
      </w:r>
      <w:r>
        <w:rPr>
          <w:rFonts w:ascii="Times New Roman" w:hAnsi="Times New Roman"/>
          <w:b w:val="false"/>
          <w:i/>
          <w:color w:val="000000"/>
          <w:sz w:val="22"/>
        </w:rPr>
        <w:t xml:space="preserve">Annual service plan. </w:t>
      </w:r>
      <w:r>
        <w:rPr>
          <w:rFonts w:ascii="Times New Roman" w:hAnsi="Times New Roman"/>
          <w:b w:val="false"/>
          <w:i w:val="false"/>
          <w:color w:val="000000"/>
          <w:sz w:val="22"/>
        </w:rPr>
        <w:t xml:space="preserve">The governance board shall oversee the development and submission of an annual child welfare and juvenile justice services plan that meets the requirements of rule </w:t>
      </w:r>
      <w:hyperlink r:id="rId18">
        <w:r>
          <w:rPr>
            <w:rStyle w:val="Hyperlink"/>
            <w:rFonts w:ascii="Times New Roman" w:hAnsi="Times New Roman"/>
            <w:b w:val="false"/>
            <w:i w:val="false"/>
            <w:color w:val="000000"/>
            <w:sz w:val="22"/>
          </w:rPr>
          <w:t>441—153.18</w:t>
        </w:r>
      </w:hyperlink>
      <w:r>
        <w:rPr>
          <w:rFonts w:ascii="Times New Roman" w:hAnsi="Times New Roman"/>
          <w:b w:val="false"/>
          <w:i w:val="false"/>
          <w:color w:val="000000"/>
          <w:sz w:val="22"/>
        </w:rPr>
        <w:t>(232). The governance board shall involve community representatives and county organizations in the development of the plan for the use of the decategorization services funding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153.13(7)</w:t>
      </w:r>
      <w:r>
        <w:rPr>
          <w:rFonts w:ascii="Times New Roman" w:hAnsi="Times New Roman"/>
          <w:b w:val="false"/>
          <w:i w:val="false"/>
          <w:color w:val="000000"/>
          <w:sz w:val="22"/>
        </w:rPr>
        <w:t> </w:t>
      </w:r>
      <w:r>
        <w:rPr>
          <w:rFonts w:ascii="Times New Roman" w:hAnsi="Times New Roman"/>
          <w:b w:val="false"/>
          <w:i/>
          <w:color w:val="000000"/>
          <w:sz w:val="22"/>
        </w:rPr>
        <w:t xml:space="preserve">Fiscal management. </w:t>
      </w:r>
      <w:r>
        <w:rPr>
          <w:rFonts w:ascii="Times New Roman" w:hAnsi="Times New Roman"/>
          <w:b w:val="false"/>
          <w:i w:val="false"/>
          <w:color w:val="000000"/>
          <w:sz w:val="22"/>
        </w:rPr>
        <w:t>The governance board shall manage and have authority over the project’s decategorization services funding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governance board shall develop a plan to maintain budget accountability by ensuring during each state fiscal year that there is ongoing accountability for results, fiscal monitoring, and oversight of expenditures from the decategorization services funding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Budget planning and decategorization services funding decisions shall be coordinated with the affected service area managers and chief juvenile court officers or their designees throughout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governance board shall ensure that expenditures do not exceed the amount of funding available within the funding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necessary, the governance board shall approve actions to reduce expenditures, discontinue programs, or take other action to manage expenditures within the available decategorization services funding pool during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153.13(8)</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The governance board shall oversee the development and submission of an annual progress report for the decategorization project that meets the requirements of rule </w:t>
      </w:r>
      <w:hyperlink r:id="rId19">
        <w:r>
          <w:rPr>
            <w:rStyle w:val="Hyperlink"/>
            <w:rFonts w:ascii="Times New Roman" w:hAnsi="Times New Roman"/>
            <w:b w:val="false"/>
            <w:i w:val="false"/>
            <w:color w:val="000000"/>
            <w:sz w:val="22"/>
          </w:rPr>
          <w:t>441—153.19</w:t>
        </w:r>
      </w:hyperlink>
      <w:r>
        <w:rPr>
          <w:rFonts w:ascii="Times New Roman" w:hAnsi="Times New Roman"/>
          <w:b w:val="false"/>
          <w:i w:val="false"/>
          <w:color w:val="000000"/>
          <w:sz w:val="22"/>
        </w:rPr>
        <w:t>(232).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441—153.14</w:t>
      </w:r>
      <w:r>
        <w:rPr>
          <w:rFonts w:ascii="Times New Roman" w:hAnsi="Times New Roman"/>
          <w:b/>
          <w:i w:val="false"/>
          <w:color w:val="000000"/>
          <w:sz w:val="22"/>
        </w:rPr>
        <w:t xml:space="preserve">(232) </w:t>
      </w:r>
      <w:r>
        <w:rPr>
          <w:rFonts w:ascii="Times New Roman" w:hAnsi="Times New Roman"/>
          <w:b/>
          <w:i w:val="false"/>
          <w:color w:val="000000"/>
          <w:sz w:val="22"/>
        </w:rPr>
        <w:t xml:space="preserve">Realignment of decategorization project boundaries. </w:t>
      </w:r>
      <w:r>
        <w:rPr>
          <w:rFonts w:ascii="Times New Roman" w:hAnsi="Times New Roman"/>
          <w:b w:val="false"/>
          <w:i w:val="false"/>
          <w:color w:val="000000"/>
          <w:sz w:val="22"/>
        </w:rPr>
        <w:t>If a governance board votes to change the composition of counties participating in the project, the governance board shall send a letter to the department director that describes the nature of the proposed project realignment and is signed by each board member who supports the proposed realignment.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153.14(1)</w:t>
      </w:r>
      <w:r>
        <w:rPr>
          <w:rFonts w:ascii="Times New Roman" w:hAnsi="Times New Roman"/>
          <w:b w:val="false"/>
          <w:i w:val="false"/>
          <w:color w:val="000000"/>
          <w:sz w:val="22"/>
        </w:rPr>
        <w:t> </w:t>
      </w:r>
      <w:r>
        <w:rPr>
          <w:rFonts w:ascii="Times New Roman" w:hAnsi="Times New Roman"/>
          <w:b w:val="false"/>
          <w:i w:val="false"/>
          <w:color w:val="000000"/>
          <w:sz w:val="22"/>
        </w:rPr>
        <w:t>If the realignment request involves the move of one or more counties from one decategorization project to another, the governance board of the project receiving the county or counties shall send a letter to the department director expressing support for the realignment.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153.14(2)</w:t>
      </w:r>
      <w:r>
        <w:rPr>
          <w:rFonts w:ascii="Times New Roman" w:hAnsi="Times New Roman"/>
          <w:b w:val="false"/>
          <w:i w:val="false"/>
          <w:color w:val="000000"/>
          <w:sz w:val="22"/>
        </w:rPr>
        <w:t> </w:t>
      </w:r>
      <w:r>
        <w:rPr>
          <w:rFonts w:ascii="Times New Roman" w:hAnsi="Times New Roman"/>
          <w:b w:val="false"/>
          <w:i w:val="false"/>
          <w:color w:val="000000"/>
          <w:sz w:val="22"/>
        </w:rPr>
        <w:t>The department director shall review the request and within 30 days shall provide a written decision to the project governance boards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evaluating the request, the department director shall consider the reasons expressed for the proposed realignment and the community and budgetary impacts of the realignment.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consult with governance board representatives and others before making a decision.</w:t>
      </w:r>
    </w:p>
    <w:p>
      <w:pPr>
        <w:spacing w:before="0" w:after="0"/>
        <w:ind w:left="120"/>
        <w:jc w:val="both"/>
      </w:pPr>
      <w:r>
        <w:rPr>
          <w:rFonts w:ascii="Times New Roman" w:hAnsi="Times New Roman"/>
          <w:b/>
          <w:i w:val="false"/>
          <w:color w:val="000000"/>
          <w:sz w:val="22"/>
        </w:rPr>
        <w:t>441—153.15</w:t>
      </w:r>
      <w:r>
        <w:rPr>
          <w:rFonts w:ascii="Times New Roman" w:hAnsi="Times New Roman"/>
          <w:b/>
          <w:i w:val="false"/>
          <w:color w:val="000000"/>
          <w:sz w:val="22"/>
        </w:rPr>
        <w:t xml:space="preserve">(232) </w:t>
      </w:r>
      <w:r>
        <w:rPr>
          <w:rFonts w:ascii="Times New Roman" w:hAnsi="Times New Roman"/>
          <w:b/>
          <w:i w:val="false"/>
          <w:color w:val="000000"/>
          <w:sz w:val="22"/>
        </w:rPr>
        <w:t xml:space="preserve">Decategorization services funding pool.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153.15(1)</w:t>
      </w:r>
      <w:r>
        <w:rPr>
          <w:rFonts w:ascii="Times New Roman" w:hAnsi="Times New Roman"/>
          <w:b w:val="false"/>
          <w:i w:val="false"/>
          <w:color w:val="000000"/>
          <w:sz w:val="22"/>
        </w:rPr>
        <w:t> </w:t>
      </w:r>
      <w:r>
        <w:rPr>
          <w:rFonts w:ascii="Times New Roman" w:hAnsi="Times New Roman"/>
          <w:b w:val="false"/>
          <w:i/>
          <w:color w:val="000000"/>
          <w:sz w:val="22"/>
        </w:rPr>
        <w:t xml:space="preserve">Creation and composition of pool. </w:t>
      </w:r>
      <w:r>
        <w:rPr>
          <w:rFonts w:ascii="Times New Roman" w:hAnsi="Times New Roman"/>
          <w:b w:val="false"/>
          <w:i w:val="false"/>
          <w:color w:val="000000"/>
          <w:sz w:val="22"/>
        </w:rPr>
        <w:t>The department shall create the decategorization services funding pool for a project by combining funding resources that may be made available to the project from one or more of the following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project’s allocation of any funding designated for decategorization in a state appropriation. When the general assembly designates a portion of the department’s child welfare appropriation specifically for decategorization services, the designated funds shall be allocated to decategorization project services funding pools. Unless otherwise specified by legislation, the designated funds shall be allocated among decategorization projects based solely on each project’s share of the population of children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welfare and juvenile justice services funds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Specifically designated and committed in writing to the project by the service area manager;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Accepted by the project’s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juvenile justice program funds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Specifically designated and committed in writing to the decategorization project by a chief juvenile court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Accepted by the project’s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carryover funds available to the project from funding transfers and from operation of decategorization services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made available to the project from any other funding source, such as another state agency or a grant awarded to the project. Funds awarded to the project under this provision may be subject to specific conditions, reporting requirements, and expenditure limits specified by the entity that awards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153.15(2)</w:t>
      </w:r>
      <w:r>
        <w:rPr>
          <w:rFonts w:ascii="Times New Roman" w:hAnsi="Times New Roman"/>
          <w:b w:val="false"/>
          <w:i w:val="false"/>
          <w:color w:val="000000"/>
          <w:sz w:val="22"/>
        </w:rPr>
        <w:t> </w:t>
      </w:r>
      <w:r>
        <w:rPr>
          <w:rFonts w:ascii="Times New Roman" w:hAnsi="Times New Roman"/>
          <w:b w:val="false"/>
          <w:i/>
          <w:color w:val="000000"/>
          <w:sz w:val="22"/>
        </w:rPr>
        <w:t xml:space="preserve">Use of funding pool. </w:t>
      </w:r>
      <w:r>
        <w:rPr>
          <w:rFonts w:ascii="Times New Roman" w:hAnsi="Times New Roman"/>
          <w:b w:val="false"/>
          <w:i w:val="false"/>
          <w:color w:val="000000"/>
          <w:sz w:val="22"/>
        </w:rPr>
        <w:t>A governance board shall use the funding pool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funding pool shall be used to provide services that meet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flexible;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individualized;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family-centered;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are preventive;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are community-based;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are comprehensive;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Services promote coordinated service systems for children and families in order to reduce the use of restrictive approaches that rely on institutional, out-of-home, and out-of-community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governance board may use the funding pool for enhancements to the child welfare and juvenile justice service systems within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funding pool shall not be used for any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Out-of-home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Out-of-community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funding pool shall be expended in accordance with statutes and rules regarding vendor solicitation and service contracting, including Iowa Code chapter </w:t>
      </w:r>
      <w:hyperlink r:id="rId20">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department of administrative services rules at </w:t>
      </w:r>
      <w:hyperlink r:id="rId21">
        <w:r>
          <w:rPr>
            <w:rStyle w:val="Hyperlink"/>
            <w:rFonts w:ascii="Times New Roman" w:hAnsi="Times New Roman"/>
            <w:b w:val="false"/>
            <w:i w:val="false"/>
            <w:color w:val="000000"/>
            <w:sz w:val="22"/>
          </w:rPr>
          <w:t>11—Chapters 106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107</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153.15(3)</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transfer of department funds. </w:t>
      </w:r>
      <w:r>
        <w:rPr>
          <w:rFonts w:ascii="Times New Roman" w:hAnsi="Times New Roman"/>
          <w:b w:val="false"/>
          <w:i w:val="false"/>
          <w:color w:val="000000"/>
          <w:sz w:val="22"/>
        </w:rPr>
        <w:t>A service area manager may choose during each state fiscal year to designate and transfer a portion of the service area’s child welfare and juvenile justice service allocation to a decategorization project’s funding pool. When designating funds, the service area manager and the governance board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area manager shall provide written notification of any funding designations to the governance boards within the service area by June 1 of the state fiscal year. The service area manager shall specify any special terms and conditions of the funding designation in the written notification to the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governance board shall consider the offer of designated funding and provide written notification of acceptance or rejection to the service area manager by June 30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governance board accepts the designated funding, the funds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transferred to the project’s decategorization services funding pool;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under the sole management authority of the governance board, subject to any special terms and conditions agreed to by the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funding from such transfers that remains unencumbered or unobligated at the close of the state fiscal year shall be carryover funding in accordance with subrule </w:t>
      </w:r>
      <w:hyperlink r:id="rId23">
        <w:r>
          <w:rPr>
            <w:rStyle w:val="Hyperlink"/>
            <w:rFonts w:ascii="Times New Roman" w:hAnsi="Times New Roman"/>
            <w:b w:val="false"/>
            <w:i w:val="false"/>
            <w:color w:val="000000"/>
            <w:sz w:val="22"/>
          </w:rPr>
          <w:t>153.15(5)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153.15(4)</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transfer of juvenile justice funds. </w:t>
      </w:r>
      <w:r>
        <w:rPr>
          <w:rFonts w:ascii="Times New Roman" w:hAnsi="Times New Roman"/>
          <w:b w:val="false"/>
          <w:i w:val="false"/>
          <w:color w:val="000000"/>
          <w:sz w:val="22"/>
        </w:rPr>
        <w:t>A chief juvenile court officer may choose to designate and transfer a portion of the judicial district’s juvenile justice program funding to a decategorization project’s services funding pool. When designating funds, the chief juvenile court officer and the governance board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chief juvenile court officer shall provide written notification of any funding designations to the governance boards within the judicial district by June 1 of the state fiscal year. The chief juvenile court officer shall specify any special terms and conditions of the funding designation in the written notification to the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governance board shall consider the offer of funding and shall provide the chief juvenile court officer with written notification of acceptance or rejection of the funding by June 30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governance board accepts the designated funding, the funds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transferred to the project’s decategorization services funding pool;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under the sole management authority of the governance board, subject to any special terms and conditions agreed to by the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funding from such transfers that remains unencumbered or unobligated at the close of the state fiscal year shall be carryover funding in accordance with subrule </w:t>
      </w:r>
      <w:hyperlink r:id="rId24">
        <w:r>
          <w:rPr>
            <w:rStyle w:val="Hyperlink"/>
            <w:rFonts w:ascii="Times New Roman" w:hAnsi="Times New Roman"/>
            <w:b w:val="false"/>
            <w:i w:val="false"/>
            <w:color w:val="000000"/>
            <w:sz w:val="22"/>
          </w:rPr>
          <w:t>153.15(5)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153.15(5)</w:t>
      </w:r>
      <w:r>
        <w:rPr>
          <w:rFonts w:ascii="Times New Roman" w:hAnsi="Times New Roman"/>
          <w:b w:val="false"/>
          <w:i w:val="false"/>
          <w:color w:val="000000"/>
          <w:sz w:val="22"/>
        </w:rPr>
        <w:t> </w:t>
      </w:r>
      <w:r>
        <w:rPr>
          <w:rFonts w:ascii="Times New Roman" w:hAnsi="Times New Roman"/>
          <w:b w:val="false"/>
          <w:i/>
          <w:color w:val="000000"/>
          <w:sz w:val="22"/>
        </w:rPr>
        <w:t xml:space="preserve">Carryover funding. </w:t>
      </w:r>
      <w:r>
        <w:rPr>
          <w:rFonts w:ascii="Times New Roman" w:hAnsi="Times New Roman"/>
          <w:b w:val="false"/>
          <w:i w:val="false"/>
          <w:color w:val="000000"/>
          <w:sz w:val="22"/>
        </w:rPr>
        <w:t>Funds allocated to a decategorization project from a legislative appropriation for decategorization services and funds designated and transferred to a decategorization project’s funding pool that remain unencumbered or unobligated at the close of a state fiscal year are referred to as “carryover funding.” The following procedures shall apply to the determination and use of decategorization carryover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the close of a state fiscal year, the department shall determine the exact amount of funding that is unencumbered or unobligated in each project’s decategorization services funding pool. The department shall collaborate with governance boards to reconcile expenditure records and determine the amount of carryover funding for each decategorization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December 15 of each state fiscal year, the department shall provide each governance board with written notification of the official amount of carryover funding available from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Carryover funding shall not revert to the state general fund but shall remain available to the governance board until the close of the succeeding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Carryover funding shall be under the authority of the project’s governance board. These funds shall be available for expenditure for child welfare and juvenile justice systems enhancements and other purposes of the project as determined by the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carryover funding not expended by a decategorization project by the close of the succeeding state fiscal year shall revert to the fiscal authority of the department. The department shall return these funds to the state general fund.</w:t>
      </w:r>
    </w:p>
    <w:p>
      <w:pPr>
        <w:spacing w:before="0" w:after="0"/>
        <w:ind w:left="120"/>
        <w:jc w:val="both"/>
      </w:pPr>
      <w:r>
        <w:rPr>
          <w:rFonts w:ascii="Times New Roman" w:hAnsi="Times New Roman"/>
          <w:b/>
          <w:i w:val="false"/>
          <w:color w:val="000000"/>
          <w:sz w:val="22"/>
        </w:rPr>
        <w:t>441—153.16</w:t>
      </w:r>
      <w:r>
        <w:rPr>
          <w:rFonts w:ascii="Times New Roman" w:hAnsi="Times New Roman"/>
          <w:b/>
          <w:i w:val="false"/>
          <w:color w:val="000000"/>
          <w:sz w:val="22"/>
        </w:rPr>
        <w:t xml:space="preserve">(232) </w:t>
      </w:r>
      <w:r>
        <w:rPr>
          <w:rFonts w:ascii="Times New Roman" w:hAnsi="Times New Roman"/>
          <w:b/>
          <w:i w:val="false"/>
          <w:color w:val="000000"/>
          <w:sz w:val="22"/>
        </w:rPr>
        <w:t xml:space="preserve">Relationship of decategorization funding pool to other department child welfare funding. </w:t>
      </w:r>
      <w:r>
        <w:rPr>
          <w:rFonts w:ascii="Times New Roman" w:hAnsi="Times New Roman"/>
          <w:b w:val="false"/>
          <w:i w:val="false"/>
          <w:color w:val="000000"/>
          <w:sz w:val="22"/>
        </w:rPr>
        <w:t>With the exception of any portion of the service area’s child welfare allocation that is allocated by law for decategorization services, each service area’s child welfare allocation shall be managed under the authority of the respective service area manager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153.16(1)</w:t>
      </w:r>
      <w:r>
        <w:rPr>
          <w:rFonts w:ascii="Times New Roman" w:hAnsi="Times New Roman"/>
          <w:b w:val="false"/>
          <w:i w:val="false"/>
          <w:color w:val="000000"/>
          <w:sz w:val="22"/>
        </w:rPr>
        <w:t> </w:t>
      </w:r>
      <w:r>
        <w:rPr>
          <w:rFonts w:ascii="Times New Roman" w:hAnsi="Times New Roman"/>
          <w:b w:val="false"/>
          <w:i/>
          <w:color w:val="000000"/>
          <w:sz w:val="22"/>
        </w:rPr>
        <w:t xml:space="preserve">Allocation. </w:t>
      </w:r>
      <w:r>
        <w:rPr>
          <w:rFonts w:ascii="Times New Roman" w:hAnsi="Times New Roman"/>
          <w:b w:val="false"/>
          <w:i w:val="false"/>
          <w:color w:val="000000"/>
          <w:sz w:val="22"/>
        </w:rPr>
        <w:t>Each service area manager receives an allocation from the state appropriation for child welfare and juvenile justice services funding to meet child welfare and juvenile justice needs within all counties comprising the service area. The service area manager is responsible for meeting service needs throughout the service area within that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153.16(2)</w:t>
      </w:r>
      <w:r>
        <w:rPr>
          <w:rFonts w:ascii="Times New Roman" w:hAnsi="Times New Roman"/>
          <w:b w:val="false"/>
          <w:i w:val="false"/>
          <w:color w:val="000000"/>
          <w:sz w:val="22"/>
        </w:rPr>
        <w:t> </w:t>
      </w:r>
      <w:r>
        <w:rPr>
          <w:rFonts w:ascii="Times New Roman" w:hAnsi="Times New Roman"/>
          <w:b w:val="false"/>
          <w:i/>
          <w:color w:val="000000"/>
          <w:sz w:val="22"/>
        </w:rPr>
        <w:t xml:space="preserve">Budgeting. </w:t>
      </w:r>
      <w:r>
        <w:rPr>
          <w:rFonts w:ascii="Times New Roman" w:hAnsi="Times New Roman"/>
          <w:b w:val="false"/>
          <w:i w:val="false"/>
          <w:color w:val="000000"/>
          <w:sz w:val="22"/>
        </w:rPr>
        <w:t>The service area manager may establish internal child welfare and juvenile justice services budget targets for the counties comprising the service area. Based on budget monitoring and changes in circumstances, the service area manager may revise the child welfare and juvenile justice budget targets within the service area to provide for the safety, permanency, and well-being of children served in the child welfare and juvenile justice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153.16(3)</w:t>
      </w:r>
      <w:r>
        <w:rPr>
          <w:rFonts w:ascii="Times New Roman" w:hAnsi="Times New Roman"/>
          <w:b w:val="false"/>
          <w:i w:val="false"/>
          <w:color w:val="000000"/>
          <w:sz w:val="22"/>
        </w:rPr>
        <w:t> </w:t>
      </w:r>
      <w:r>
        <w:rPr>
          <w:rFonts w:ascii="Times New Roman" w:hAnsi="Times New Roman"/>
          <w:b w:val="false"/>
          <w:i/>
          <w:color w:val="000000"/>
          <w:sz w:val="22"/>
        </w:rPr>
        <w:t xml:space="preserve">Transfer to project. </w:t>
      </w:r>
      <w:r>
        <w:rPr>
          <w:rFonts w:ascii="Times New Roman" w:hAnsi="Times New Roman"/>
          <w:b w:val="false"/>
          <w:i w:val="false"/>
          <w:color w:val="000000"/>
          <w:sz w:val="22"/>
        </w:rPr>
        <w:t>A service area manager may choose to designate and to transfer a portion of the service area’s child welfare allocation to the funding pool of a decategorization project. The service area manager may ask a governance board to accept specific terms and conditions concerning use of this funding. Once funding is transferred to a governance board, the funding is under the management authority of the governance board, subject to any special terms and conditions agreed to by the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153.16(4)</w:t>
      </w:r>
      <w:r>
        <w:rPr>
          <w:rFonts w:ascii="Times New Roman" w:hAnsi="Times New Roman"/>
          <w:b w:val="false"/>
          <w:i w:val="false"/>
          <w:color w:val="000000"/>
          <w:sz w:val="22"/>
        </w:rPr>
        <w:t> </w:t>
      </w:r>
      <w:r>
        <w:rPr>
          <w:rFonts w:ascii="Times New Roman" w:hAnsi="Times New Roman"/>
          <w:b w:val="false"/>
          <w:i/>
          <w:color w:val="000000"/>
          <w:sz w:val="22"/>
        </w:rPr>
        <w:t xml:space="preserve">Communication with the governance board. </w:t>
      </w:r>
      <w:r>
        <w:rPr>
          <w:rFonts w:ascii="Times New Roman" w:hAnsi="Times New Roman"/>
          <w:b w:val="false"/>
          <w:i w:val="false"/>
          <w:color w:val="000000"/>
          <w:sz w:val="22"/>
        </w:rPr>
        <w:t>The service area manager shall regularly communicate with the governance boards within the service area to provide updated data and other information on child welfare and juvenile justice funding amounts, service expenditures and trends, and other issues in order to assist the governance board in service and budget planning.</w:t>
      </w:r>
    </w:p>
    <w:p>
      <w:pPr>
        <w:spacing w:before="0" w:after="0"/>
        <w:ind w:left="120"/>
        <w:jc w:val="both"/>
      </w:pPr>
      <w:r>
        <w:rPr>
          <w:rFonts w:ascii="Times New Roman" w:hAnsi="Times New Roman"/>
          <w:b/>
          <w:i w:val="false"/>
          <w:color w:val="000000"/>
          <w:sz w:val="22"/>
        </w:rPr>
        <w:t>441—153.17</w:t>
      </w:r>
      <w:r>
        <w:rPr>
          <w:rFonts w:ascii="Times New Roman" w:hAnsi="Times New Roman"/>
          <w:b/>
          <w:i w:val="false"/>
          <w:color w:val="000000"/>
          <w:sz w:val="22"/>
        </w:rPr>
        <w:t xml:space="preserve">(232) </w:t>
      </w:r>
      <w:r>
        <w:rPr>
          <w:rFonts w:ascii="Times New Roman" w:hAnsi="Times New Roman"/>
          <w:b/>
          <w:i w:val="false"/>
          <w:color w:val="000000"/>
          <w:sz w:val="22"/>
        </w:rPr>
        <w:t xml:space="preserve">Relationship of decategorization funding pool to juvenile court services funding streams. </w:t>
      </w:r>
      <w:r>
        <w:rPr>
          <w:rFonts w:ascii="Times New Roman" w:hAnsi="Times New Roman"/>
          <w:b w:val="false"/>
          <w:i w:val="false"/>
          <w:color w:val="000000"/>
          <w:sz w:val="22"/>
        </w:rPr>
        <w:t>Funds allocated by the department among the eight judicial districts for the court-ordered services and graduated sanctions programs shall be managed under the authority of the chief juvenile court officer for each judicial district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153.17(1)</w:t>
      </w:r>
      <w:r>
        <w:rPr>
          <w:rFonts w:ascii="Times New Roman" w:hAnsi="Times New Roman"/>
          <w:b w:val="false"/>
          <w:i w:val="false"/>
          <w:color w:val="000000"/>
          <w:sz w:val="22"/>
        </w:rPr>
        <w:t> </w:t>
      </w:r>
      <w:r>
        <w:rPr>
          <w:rFonts w:ascii="Times New Roman" w:hAnsi="Times New Roman"/>
          <w:b w:val="false"/>
          <w:i/>
          <w:color w:val="000000"/>
          <w:sz w:val="22"/>
        </w:rPr>
        <w:t xml:space="preserve">Allocation. </w:t>
      </w:r>
      <w:r>
        <w:rPr>
          <w:rFonts w:ascii="Times New Roman" w:hAnsi="Times New Roman"/>
          <w:b w:val="false"/>
          <w:i w:val="false"/>
          <w:color w:val="000000"/>
          <w:sz w:val="22"/>
        </w:rPr>
        <w:t>Each chief juvenile court officer receives an allocation from the state appropriation for the court-ordered services and graduated sanction programs. The chief juvenile court officer is responsible for managing needs for these programs throughout the judicial district within that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153.17(2)</w:t>
      </w:r>
      <w:r>
        <w:rPr>
          <w:rFonts w:ascii="Times New Roman" w:hAnsi="Times New Roman"/>
          <w:b w:val="false"/>
          <w:i w:val="false"/>
          <w:color w:val="000000"/>
          <w:sz w:val="22"/>
        </w:rPr>
        <w:t> </w:t>
      </w:r>
      <w:r>
        <w:rPr>
          <w:rFonts w:ascii="Times New Roman" w:hAnsi="Times New Roman"/>
          <w:b w:val="false"/>
          <w:i/>
          <w:color w:val="000000"/>
          <w:sz w:val="22"/>
        </w:rPr>
        <w:t xml:space="preserve">Budgeting. </w:t>
      </w:r>
      <w:r>
        <w:rPr>
          <w:rFonts w:ascii="Times New Roman" w:hAnsi="Times New Roman"/>
          <w:b w:val="false"/>
          <w:i w:val="false"/>
          <w:color w:val="000000"/>
          <w:sz w:val="22"/>
        </w:rPr>
        <w:t>The chief juvenile court officer may establish internal budget targets for expenditures from the court-ordered services and graduated sanction programs for the counties comprising the judicial district. Based on budget monitoring and changes in circumstances, a chief juvenile court officer may revise the budget targets established within the judicial district to provide programs most effectively for children within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153.17(3)</w:t>
      </w:r>
      <w:r>
        <w:rPr>
          <w:rFonts w:ascii="Times New Roman" w:hAnsi="Times New Roman"/>
          <w:b w:val="false"/>
          <w:i w:val="false"/>
          <w:color w:val="000000"/>
          <w:sz w:val="22"/>
        </w:rPr>
        <w:t> </w:t>
      </w:r>
      <w:r>
        <w:rPr>
          <w:rFonts w:ascii="Times New Roman" w:hAnsi="Times New Roman"/>
          <w:b w:val="false"/>
          <w:i/>
          <w:color w:val="000000"/>
          <w:sz w:val="22"/>
        </w:rPr>
        <w:t xml:space="preserve">Transfer to project. </w:t>
      </w:r>
      <w:r>
        <w:rPr>
          <w:rFonts w:ascii="Times New Roman" w:hAnsi="Times New Roman"/>
          <w:b w:val="false"/>
          <w:i w:val="false"/>
          <w:color w:val="000000"/>
          <w:sz w:val="22"/>
        </w:rPr>
        <w:t>A chief juvenile court officer may choose to designate and to transfer a portion of the judicial district’s allocation for court-ordered services and graduated sanction programs to the funding pool of a decategorization project. The chief juvenile court officer may ask a governance board to accept specific terms and conditions concerning use of this funding. Once funding is transferred to a governance board, the funding is under the management authority of the governance board, subject to any special terms and conditions agreed to by the governance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153.17(4)</w:t>
      </w:r>
      <w:r>
        <w:rPr>
          <w:rFonts w:ascii="Times New Roman" w:hAnsi="Times New Roman"/>
          <w:b w:val="false"/>
          <w:i w:val="false"/>
          <w:color w:val="000000"/>
          <w:sz w:val="22"/>
        </w:rPr>
        <w:t> </w:t>
      </w:r>
      <w:r>
        <w:rPr>
          <w:rFonts w:ascii="Times New Roman" w:hAnsi="Times New Roman"/>
          <w:b w:val="false"/>
          <w:i/>
          <w:color w:val="000000"/>
          <w:sz w:val="22"/>
        </w:rPr>
        <w:t xml:space="preserve">Communication with the governance board. </w:t>
      </w:r>
      <w:r>
        <w:rPr>
          <w:rFonts w:ascii="Times New Roman" w:hAnsi="Times New Roman"/>
          <w:b w:val="false"/>
          <w:i w:val="false"/>
          <w:color w:val="000000"/>
          <w:sz w:val="22"/>
        </w:rPr>
        <w:t>The chief juvenile court officer shall regularly communicate with the governance boards within the judicial district to provide data and other information on juvenile justice program allocation amounts, service expenditures and trends, and other issues that may assist the governance boards in service and budget planning.</w:t>
      </w:r>
    </w:p>
    <w:p>
      <w:pPr>
        <w:spacing w:before="0" w:after="0"/>
        <w:ind w:left="120"/>
        <w:jc w:val="both"/>
      </w:pPr>
      <w:r>
        <w:rPr>
          <w:rFonts w:ascii="Times New Roman" w:hAnsi="Times New Roman"/>
          <w:b/>
          <w:i w:val="false"/>
          <w:color w:val="000000"/>
          <w:sz w:val="22"/>
        </w:rPr>
        <w:t>441—153.18</w:t>
      </w:r>
      <w:r>
        <w:rPr>
          <w:rFonts w:ascii="Times New Roman" w:hAnsi="Times New Roman"/>
          <w:b/>
          <w:i w:val="false"/>
          <w:color w:val="000000"/>
          <w:sz w:val="22"/>
        </w:rPr>
        <w:t xml:space="preserve">(232) </w:t>
      </w:r>
      <w:r>
        <w:rPr>
          <w:rFonts w:ascii="Times New Roman" w:hAnsi="Times New Roman"/>
          <w:b/>
          <w:i w:val="false"/>
          <w:color w:val="000000"/>
          <w:sz w:val="22"/>
        </w:rPr>
        <w:t xml:space="preserve">Requirements for annual services plan. </w:t>
      </w:r>
      <w:r>
        <w:rPr>
          <w:rFonts w:ascii="Times New Roman" w:hAnsi="Times New Roman"/>
          <w:b w:val="false"/>
          <w:i w:val="false"/>
          <w:color w:val="000000"/>
          <w:sz w:val="22"/>
        </w:rPr>
        <w:t>Each decategorization project shall annually develop and submit a child welfare and juvenile justice decategorization services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153.18(1)</w:t>
      </w:r>
      <w:r>
        <w:rPr>
          <w:rFonts w:ascii="Times New Roman" w:hAnsi="Times New Roman"/>
          <w:b w:val="false"/>
          <w:i w:val="false"/>
          <w:color w:val="000000"/>
          <w:sz w:val="22"/>
        </w:rPr>
        <w:t> </w:t>
      </w:r>
      <w:r>
        <w:rPr>
          <w:rFonts w:ascii="Times New Roman" w:hAnsi="Times New Roman"/>
          <w:b w:val="false"/>
          <w:i/>
          <w:color w:val="000000"/>
          <w:sz w:val="22"/>
        </w:rPr>
        <w:t xml:space="preserve">Content of plan. </w:t>
      </w:r>
      <w:r>
        <w:rPr>
          <w:rFonts w:ascii="Times New Roman" w:hAnsi="Times New Roman"/>
          <w:b w:val="false"/>
          <w:i w:val="false"/>
          <w:color w:val="000000"/>
          <w:sz w:val="22"/>
        </w:rPr>
        <w:t>The decategorization services plan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project’s proposed use of funding from the decategorization services funding pool during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community planning and needs assessment process that was used in developing the annual decategorization services plan, including information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community members and organizations that participated in developing the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Efforts to coordinate with other community planning initiatives affecting children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project’s specific and quantifiable short-term plans and desired results for the state fiscal year and how these plans align with the project’s long-term plans to improve outcomes for vulnerable children and families by enhancing service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methods that the project will use to track results and outcomes during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project’s plans for monitoring and maintaining fiscal accountability, which shall include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performance and results achieved by contractors that receive funding;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Expenditures from the decategorization services funding pool throughout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project’s plans to expend projected carryover funds by the conclusion of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153.18(2)</w:t>
      </w:r>
      <w:r>
        <w:rPr>
          <w:rFonts w:ascii="Times New Roman" w:hAnsi="Times New Roman"/>
          <w:b w:val="false"/>
          <w:i w:val="false"/>
          <w:color w:val="000000"/>
          <w:sz w:val="22"/>
        </w:rPr>
        <w:t> </w:t>
      </w:r>
      <w:r>
        <w:rPr>
          <w:rFonts w:ascii="Times New Roman" w:hAnsi="Times New Roman"/>
          <w:b w:val="false"/>
          <w:i/>
          <w:color w:val="000000"/>
          <w:sz w:val="22"/>
        </w:rPr>
        <w:t xml:space="preserve">Submission of plan. </w:t>
      </w:r>
      <w:r>
        <w:rPr>
          <w:rFonts w:ascii="Times New Roman" w:hAnsi="Times New Roman"/>
          <w:b w:val="false"/>
          <w:i w:val="false"/>
          <w:color w:val="000000"/>
          <w:sz w:val="22"/>
        </w:rPr>
        <w:t>The decategorization services plan shall be submitted to the department’s child welfare administrator and to the early childhood Iowa state board by October 1 of each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441—153.19</w:t>
      </w:r>
      <w:r>
        <w:rPr>
          <w:rFonts w:ascii="Times New Roman" w:hAnsi="Times New Roman"/>
          <w:b/>
          <w:i w:val="false"/>
          <w:color w:val="000000"/>
          <w:sz w:val="22"/>
        </w:rPr>
        <w:t xml:space="preserve">(232) </w:t>
      </w:r>
      <w:r>
        <w:rPr>
          <w:rFonts w:ascii="Times New Roman" w:hAnsi="Times New Roman"/>
          <w:b/>
          <w:i w:val="false"/>
          <w:color w:val="000000"/>
          <w:sz w:val="22"/>
        </w:rPr>
        <w:t xml:space="preserve">Requirements for annual progress report. </w:t>
      </w:r>
      <w:r>
        <w:rPr>
          <w:rFonts w:ascii="Times New Roman" w:hAnsi="Times New Roman"/>
          <w:b w:val="false"/>
          <w:i w:val="false"/>
          <w:color w:val="000000"/>
          <w:sz w:val="22"/>
        </w:rPr>
        <w:t>Each decategorization project shall develop and submit an annual progress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153.19(1)</w:t>
      </w:r>
      <w:r>
        <w:rPr>
          <w:rFonts w:ascii="Times New Roman" w:hAnsi="Times New Roman"/>
          <w:b w:val="false"/>
          <w:i w:val="false"/>
          <w:color w:val="000000"/>
          <w:sz w:val="22"/>
        </w:rPr>
        <w:t> </w:t>
      </w:r>
      <w:r>
        <w:rPr>
          <w:rFonts w:ascii="Times New Roman" w:hAnsi="Times New Roman"/>
          <w:b w:val="false"/>
          <w:i/>
          <w:color w:val="000000"/>
          <w:sz w:val="22"/>
        </w:rPr>
        <w:t xml:space="preserve">Content of report. </w:t>
      </w:r>
      <w:r>
        <w:rPr>
          <w:rFonts w:ascii="Times New Roman" w:hAnsi="Times New Roman"/>
          <w:b w:val="false"/>
          <w:i w:val="false"/>
          <w:color w:val="000000"/>
          <w:sz w:val="22"/>
        </w:rPr>
        <w:t>At a minimum, the progress report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Summarize the project’s key activities and the progress toward reaching the project’s desired outcomes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key activities, outcomes, and expenditures for programs and services that received funding from the governance board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any lessons learned and planning adjustments made by the governance board during the previous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153.19(2)</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 </w:t>
      </w:r>
      <w:r>
        <w:rPr>
          <w:rFonts w:ascii="Times New Roman" w:hAnsi="Times New Roman"/>
          <w:b w:val="false"/>
          <w:i w:val="false"/>
          <w:color w:val="000000"/>
          <w:sz w:val="22"/>
        </w:rPr>
        <w:t>The progress report shall be submitted to the department’s child welfare administrator and to the early childhood Iowa state board by December 1 of each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6350C</w:t>
      </w:r>
      <w:r>
        <w:rPr>
          <w:rFonts w:ascii="Times New Roman" w:hAnsi="Times New Roman"/>
          <w:b w:val="false"/>
          <w:i w:val="false"/>
          <w:color w:val="000000"/>
          <w:sz w:val="16"/>
        </w:rPr>
        <w:t>, IAB 6/15/22, effective 8/1/22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232.188</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spacing w:before="0" w:after="0"/>
        <w:ind w:left="120"/>
        <w:jc w:val="center"/>
      </w:pPr>
      <w:r>
        <w:rPr>
          <w:rFonts w:ascii="Times New Roman" w:hAnsi="Times New Roman"/>
          <w:b w:val="false"/>
          <w:i w:val="false"/>
          <w:color w:val="000000"/>
          <w:sz w:val="16"/>
        </w:rPr>
        <w:t>MENTAL ILLNESS, MENTAL RETARDATION, AND</w:t>
      </w:r>
    </w:p>
    <w:p>
      <w:pPr>
        <w:pBdr>
          <w:bottom w:space="10"/>
        </w:pBdr>
        <w:spacing w:before="0" w:after="0"/>
        <w:ind w:left="120"/>
        <w:jc w:val="center"/>
      </w:pPr>
      <w:r>
        <w:rPr>
          <w:rFonts w:ascii="Times New Roman" w:hAnsi="Times New Roman"/>
          <w:b w:val="false"/>
          <w:i w:val="false"/>
          <w:color w:val="000000"/>
          <w:sz w:val="16"/>
        </w:rPr>
        <w:t>DEVELOPMENTAL DISABILITIES—LOCAL SERVICES</w:t>
      </w:r>
    </w:p>
    <w:p>
      <w:pPr>
        <w:spacing w:before="0" w:after="0"/>
        <w:ind w:left="120"/>
        <w:jc w:val="center"/>
      </w:pPr>
      <w:r>
        <w:rPr>
          <w:rFonts w:ascii="Times New Roman" w:hAnsi="Times New Roman"/>
          <w:b w:val="false"/>
          <w:i w:val="false"/>
          <w:color w:val="000000"/>
          <w:sz w:val="20"/>
        </w:rPr>
        <w:t>Rescinded IAB 3/6/02, effective 5/1/02</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STATE PAYMENT PROGRAM FOR LOCAL MENTAL HEALTH, MENTAL RETARDATION, AND</w:t>
      </w:r>
      <w:r>
        <w:br/>
      </w:r>
      <w:r>
        <w:rPr>
          <w:rFonts w:ascii="Times New Roman" w:hAnsi="Times New Roman"/>
          <w:b w:val="false"/>
          <w:i w:val="false"/>
          <w:color w:val="000000"/>
          <w:sz w:val="16"/>
        </w:rPr>
        <w:t>DEVELOPMENTAL DISABILITIES SERVICES TO ADULTS WITHOUT LEGAL SETTLEMENT</w:t>
      </w:r>
    </w:p>
    <w:p>
      <w:pPr>
        <w:spacing w:before="0" w:after="0"/>
        <w:ind w:left="120"/>
        <w:jc w:val="center"/>
      </w:pPr>
      <w:r>
        <w:rPr>
          <w:rFonts w:ascii="Times New Roman" w:hAnsi="Times New Roman"/>
          <w:b w:val="false"/>
          <w:i w:val="false"/>
          <w:color w:val="000000"/>
          <w:sz w:val="20"/>
        </w:rPr>
        <w:t xml:space="preserve">Rescinded </w:t>
      </w:r>
      <w:r>
        <w:rPr>
          <w:rFonts w:ascii="Times New Roman" w:hAnsi="Times New Roman"/>
          <w:b/>
          <w:i w:val="false"/>
          <w:color w:val="000000"/>
          <w:sz w:val="20"/>
        </w:rPr>
        <w:t>ARC 6350C</w:t>
      </w:r>
      <w:r>
        <w:rPr>
          <w:rFonts w:ascii="Times New Roman" w:hAnsi="Times New Roman"/>
          <w:b w:val="false"/>
          <w:i w:val="false"/>
          <w:color w:val="000000"/>
          <w:sz w:val="20"/>
        </w:rPr>
        <w:t>, IAB 6/15/22, effective 8/1/22</w:t>
      </w:r>
    </w:p>
    <w:p>
      <w:pPr>
        <w:spacing w:before="0" w:after="0"/>
        <w:ind w:left="120"/>
        <w:jc w:val="both"/>
      </w:pP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6/1/78, Notice 4/19/78—published 6/28/78, effective 8/2/78]</w:t>
      </w:r>
    </w:p>
    <w:p>
      <w:pPr>
        <w:spacing w:before="0" w:after="0"/>
        <w:ind w:left="120"/>
        <w:jc w:val="center"/>
      </w:pPr>
      <w:r>
        <w:rPr>
          <w:rFonts w:ascii="Times New Roman" w:hAnsi="Times New Roman"/>
          <w:b w:val="false"/>
          <w:i w:val="false"/>
          <w:color w:val="000000"/>
          <w:sz w:val="21"/>
        </w:rPr>
        <w:t>[Filed 1/4/79, Notice 11/29/78—published 1/24/79, effective 2/28/79]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8/29/80, Notice 5/28/80—published 9/17/80, effective 10/22/80]</w:t>
      </w:r>
    </w:p>
    <w:p>
      <w:pPr>
        <w:spacing w:before="0" w:after="0"/>
        <w:ind w:left="120"/>
        <w:jc w:val="center"/>
      </w:pPr>
      <w:r>
        <w:rPr>
          <w:rFonts w:ascii="Times New Roman" w:hAnsi="Times New Roman"/>
          <w:b w:val="false"/>
          <w:i w:val="false"/>
          <w:color w:val="000000"/>
          <w:sz w:val="21"/>
        </w:rPr>
        <w:t>[Filed 9/25/80, Notice 7/23/80—published 10/15/80, effective 11/19/80]</w:t>
      </w:r>
    </w:p>
    <w:p>
      <w:pPr>
        <w:spacing w:before="0" w:after="0"/>
        <w:ind w:left="120"/>
        <w:jc w:val="center"/>
      </w:pPr>
      <w:r>
        <w:rPr>
          <w:rFonts w:ascii="Times New Roman" w:hAnsi="Times New Roman"/>
          <w:b w:val="false"/>
          <w:i w:val="false"/>
          <w:color w:val="000000"/>
          <w:sz w:val="21"/>
        </w:rPr>
        <w:t>[Filed emergency 3/31/82—published 4/28/82, effective 4/1/82]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7/30/82, Notice 6/9/82—published 8/18/82, effective 10/1/82]</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emergency 3/25/83—published 4/13/83, effective 4/1/83]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9/1/88, Notice 6/29/88—published 9/21/88, effective 11/1/88]</w:t>
      </w:r>
    </w:p>
    <w:p>
      <w:pPr>
        <w:spacing w:before="0" w:after="0"/>
        <w:ind w:left="120"/>
        <w:jc w:val="center"/>
      </w:pPr>
      <w:r>
        <w:rPr>
          <w:rFonts w:ascii="Times New Roman" w:hAnsi="Times New Roman"/>
          <w:b w:val="false"/>
          <w:i w:val="false"/>
          <w:color w:val="000000"/>
          <w:sz w:val="21"/>
        </w:rPr>
        <w:t>[Filed 11/16/89, Notice 9/20/89—published 12/13/89, effective 2/1/90]</w:t>
      </w:r>
    </w:p>
    <w:p>
      <w:pPr>
        <w:spacing w:before="0" w:after="0"/>
        <w:ind w:left="120"/>
        <w:jc w:val="center"/>
      </w:pPr>
      <w:r>
        <w:rPr>
          <w:rFonts w:ascii="Times New Roman" w:hAnsi="Times New Roman"/>
          <w:b w:val="false"/>
          <w:i w:val="false"/>
          <w:color w:val="000000"/>
          <w:sz w:val="21"/>
        </w:rPr>
        <w:t>[Filed emergency 6/14/90—published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emergency 6/15/92—published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9/3/92, Notice 7/8/92—published 9/30/92, effective 12/1/92]</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8/5/93, Notice 5/26/93—published 9/1/93, effective 11/1/93]</w:t>
      </w:r>
    </w:p>
    <w:p>
      <w:pPr>
        <w:spacing w:before="0" w:after="0"/>
        <w:ind w:left="120"/>
        <w:jc w:val="center"/>
      </w:pPr>
      <w:r>
        <w:rPr>
          <w:rFonts w:ascii="Times New Roman" w:hAnsi="Times New Roman"/>
          <w:b w:val="false"/>
          <w:i w:val="false"/>
          <w:color w:val="000000"/>
          <w:sz w:val="21"/>
        </w:rPr>
        <w:t>[Filed 8/5/93, Notice 6/23/93—published 9/1/93, effective 11/1/93]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emergency 3/10/94—published 3/30/94, effective 3/10/94]</w:t>
      </w:r>
    </w:p>
    <w:p>
      <w:pPr>
        <w:spacing w:before="0" w:after="0"/>
        <w:ind w:left="120"/>
        <w:jc w:val="center"/>
      </w:pPr>
      <w:r>
        <w:rPr>
          <w:rFonts w:ascii="Times New Roman" w:hAnsi="Times New Roman"/>
          <w:b w:val="false"/>
          <w:i w:val="false"/>
          <w:color w:val="000000"/>
          <w:sz w:val="21"/>
        </w:rPr>
        <w:t>[Filed 5/11/94, Notice 3/30/94—published 6/8/94, effective 8/1/94]</w:t>
      </w:r>
    </w:p>
    <w:p>
      <w:pPr>
        <w:spacing w:before="0" w:after="0"/>
        <w:ind w:left="120"/>
        <w:jc w:val="center"/>
      </w:pPr>
      <w:r>
        <w:rPr>
          <w:rFonts w:ascii="Times New Roman" w:hAnsi="Times New Roman"/>
          <w:b w:val="false"/>
          <w:i w:val="false"/>
          <w:color w:val="000000"/>
          <w:sz w:val="21"/>
        </w:rPr>
        <w:t>[Filed 12/7/94, Notice 9/28/94—published 1/4/95, effective 2/8/95]</w:t>
      </w:r>
    </w:p>
    <w:p>
      <w:pPr>
        <w:spacing w:before="0" w:after="0"/>
        <w:ind w:left="120"/>
        <w:jc w:val="center"/>
      </w:pPr>
      <w:r>
        <w:rPr>
          <w:rFonts w:ascii="Times New Roman" w:hAnsi="Times New Roman"/>
          <w:b w:val="false"/>
          <w:i w:val="false"/>
          <w:color w:val="000000"/>
          <w:sz w:val="21"/>
        </w:rPr>
        <w:t>[Filed 10/12/95, Notice 8/30/95—published 11/8/95, effective 1/1/96]</w:t>
      </w:r>
    </w:p>
    <w:p>
      <w:pPr>
        <w:spacing w:before="0" w:after="0"/>
        <w:ind w:left="120"/>
        <w:jc w:val="center"/>
      </w:pPr>
      <w:r>
        <w:rPr>
          <w:rFonts w:ascii="Times New Roman" w:hAnsi="Times New Roman"/>
          <w:b w:val="false"/>
          <w:i w:val="false"/>
          <w:color w:val="000000"/>
          <w:sz w:val="21"/>
        </w:rPr>
        <w:t>[Filed emergency 9/19/96—published 10/9/96, effective 9/19/96]</w:t>
      </w:r>
    </w:p>
    <w:p>
      <w:pPr>
        <w:spacing w:before="0" w:after="0"/>
        <w:ind w:left="120"/>
        <w:jc w:val="center"/>
      </w:pPr>
      <w:r>
        <w:rPr>
          <w:rFonts w:ascii="Times New Roman" w:hAnsi="Times New Roman"/>
          <w:b w:val="false"/>
          <w:i w:val="false"/>
          <w:color w:val="000000"/>
          <w:sz w:val="21"/>
        </w:rPr>
        <w:t>[Filed 11/13/96, Notice 9/11/96—published 12/4/96, effective 2/1/97]</w:t>
      </w:r>
    </w:p>
    <w:p>
      <w:pPr>
        <w:spacing w:before="0" w:after="0"/>
        <w:ind w:left="120"/>
        <w:jc w:val="center"/>
      </w:pPr>
      <w:r>
        <w:rPr>
          <w:rFonts w:ascii="Times New Roman" w:hAnsi="Times New Roman"/>
          <w:b w:val="false"/>
          <w:i w:val="false"/>
          <w:color w:val="000000"/>
          <w:sz w:val="21"/>
        </w:rPr>
        <w:t>[Filed 12/12/96, Notice 10/9/96—published 1/1/97, effective 3/1/97]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10/14/98, Notice 8/12/98—published 11/4/98, effective 1/1/99]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emergency 11/14/01—published 12/12/01, effective 12/1/01]</w:t>
      </w:r>
    </w:p>
    <w:p>
      <w:pPr>
        <w:spacing w:before="0" w:after="0"/>
        <w:ind w:left="120"/>
        <w:jc w:val="center"/>
      </w:pPr>
      <w:r>
        <w:rPr>
          <w:rFonts w:ascii="Times New Roman" w:hAnsi="Times New Roman"/>
          <w:b w:val="false"/>
          <w:i w:val="false"/>
          <w:color w:val="000000"/>
          <w:sz w:val="21"/>
        </w:rPr>
        <w:t>[Filed 2/14/02, Notice 12/12/01—published 3/6/02, effective 5/1/02]</w:t>
      </w:r>
    </w:p>
    <w:p>
      <w:pPr>
        <w:spacing w:before="0" w:after="0"/>
        <w:ind w:left="120"/>
        <w:jc w:val="center"/>
      </w:pPr>
      <w:r>
        <w:rPr>
          <w:rFonts w:ascii="Times New Roman" w:hAnsi="Times New Roman"/>
          <w:b w:val="false"/>
          <w:i w:val="false"/>
          <w:color w:val="000000"/>
          <w:sz w:val="21"/>
        </w:rPr>
        <w:t>[Filed 2/6/02, Notice 12/26/01—published 3/6/02, effective 5/1/02]</w:t>
      </w:r>
    </w:p>
    <w:p>
      <w:pPr>
        <w:spacing w:before="0" w:after="0"/>
        <w:ind w:left="120"/>
        <w:jc w:val="center"/>
      </w:pPr>
      <w:r>
        <w:rPr>
          <w:rFonts w:ascii="Times New Roman" w:hAnsi="Times New Roman"/>
          <w:b w:val="false"/>
          <w:i w:val="false"/>
          <w:color w:val="000000"/>
          <w:sz w:val="21"/>
        </w:rPr>
        <w:t>[Filed 2/14/02, Notice 1/9/02—published 3/6/02, effective 7/1/02]</w:t>
      </w:r>
    </w:p>
    <w:p>
      <w:pPr>
        <w:spacing w:before="0" w:after="0"/>
        <w:ind w:left="120"/>
        <w:jc w:val="center"/>
      </w:pPr>
      <w:r>
        <w:rPr>
          <w:rFonts w:ascii="Times New Roman" w:hAnsi="Times New Roman"/>
          <w:b w:val="false"/>
          <w:i w:val="false"/>
          <w:color w:val="000000"/>
          <w:sz w:val="21"/>
        </w:rPr>
        <w:t>[Filed emergency 12/12/02 after Notice 10/30/02—published 1/8/03, effective 1/1/03]</w:t>
      </w:r>
    </w:p>
    <w:p>
      <w:pPr>
        <w:spacing w:before="0" w:after="0"/>
        <w:ind w:left="120"/>
        <w:jc w:val="center"/>
      </w:pPr>
      <w:r>
        <w:rPr>
          <w:rFonts w:ascii="Times New Roman" w:hAnsi="Times New Roman"/>
          <w:b w:val="false"/>
          <w:i w:val="false"/>
          <w:color w:val="000000"/>
          <w:sz w:val="21"/>
        </w:rPr>
        <w:t>[Filed 1/16/04, Notice 11/26/03—published 2/4/04, effective 3/10/04]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3/10/06, Notice 1/4/06—published 3/29/06, effective 6/1/06]</w:t>
      </w:r>
    </w:p>
    <w:p>
      <w:pPr>
        <w:spacing w:before="0" w:after="0"/>
        <w:ind w:left="120"/>
        <w:jc w:val="center"/>
      </w:pPr>
      <w:r>
        <w:rPr>
          <w:rFonts w:ascii="Times New Roman" w:hAnsi="Times New Roman"/>
          <w:b w:val="false"/>
          <w:i w:val="false"/>
          <w:color w:val="000000"/>
          <w:sz w:val="21"/>
        </w:rPr>
        <w:t>[Filed without Notice 7/14/06—published 8/2/06,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emergency 2/16/07 after Notices 8/2/06, 10/11/06—published 3/14/07, effective 3/7/07]</w:t>
      </w:r>
    </w:p>
    <w:p>
      <w:pPr>
        <w:spacing w:before="0" w:after="0"/>
        <w:ind w:left="120"/>
        <w:jc w:val="center"/>
      </w:pPr>
      <w:r>
        <w:rPr>
          <w:rFonts w:ascii="Times New Roman" w:hAnsi="Times New Roman"/>
          <w:b w:val="false"/>
          <w:i w:val="false"/>
          <w:color w:val="000000"/>
          <w:sz w:val="21"/>
        </w:rPr>
        <w:t>[Filed without Notice 4/20/07—published 5/9/07, effective 7/1/07]</w:t>
      </w:r>
    </w:p>
    <w:p>
      <w:pPr>
        <w:spacing w:before="0" w:after="0"/>
        <w:ind w:left="120"/>
        <w:jc w:val="center"/>
      </w:pPr>
      <w:r>
        <w:rPr>
          <w:rFonts w:ascii="Times New Roman" w:hAnsi="Times New Roman"/>
          <w:b w:val="false"/>
          <w:i w:val="false"/>
          <w:color w:val="000000"/>
          <w:sz w:val="21"/>
        </w:rPr>
        <w:t>[Filed 7/12/07, Notice 5/9/07—published 8/1/07, effective 9/5/07]</w:t>
      </w:r>
    </w:p>
    <w:p>
      <w:pPr>
        <w:spacing w:before="0" w:after="0"/>
        <w:ind w:left="120"/>
        <w:jc w:val="center"/>
      </w:pPr>
      <w:r>
        <w:rPr>
          <w:rFonts w:ascii="Times New Roman" w:hAnsi="Times New Roman"/>
          <w:b w:val="false"/>
          <w:i w:val="false"/>
          <w:color w:val="000000"/>
          <w:sz w:val="21"/>
        </w:rPr>
        <w:t>[Filed 3/12/08, Notice 1/16/08—published 4/9/08, effective 6/1/08]</w:t>
      </w:r>
    </w:p>
    <w:p>
      <w:pPr>
        <w:spacing w:before="0" w:after="0"/>
        <w:ind w:left="120"/>
        <w:jc w:val="center"/>
      </w:pPr>
      <w:r>
        <w:rPr>
          <w:rFonts w:ascii="Times New Roman" w:hAnsi="Times New Roman"/>
          <w:b w:val="false"/>
          <w:i w:val="false"/>
          <w:color w:val="000000"/>
          <w:sz w:val="21"/>
        </w:rPr>
        <w:t>[Filed Emergency ARC 7641B, IAB 3/25/09, effective 3/1/09]</w:t>
      </w:r>
    </w:p>
    <w:p>
      <w:pPr>
        <w:spacing w:before="0" w:after="0"/>
        <w:ind w:left="120"/>
        <w:jc w:val="center"/>
      </w:pPr>
      <w:r>
        <w:rPr>
          <w:rFonts w:ascii="Times New Roman" w:hAnsi="Times New Roman"/>
          <w:b w:val="false"/>
          <w:i w:val="false"/>
          <w:color w:val="000000"/>
          <w:sz w:val="21"/>
        </w:rPr>
        <w:t>[Filed ARC 7830B</w:t>
      </w:r>
      <w:r>
        <w:rPr>
          <w:rFonts w:ascii="Times New Roman" w:hAnsi="Times New Roman"/>
          <w:b w:val="false"/>
          <w:i w:val="false"/>
          <w:color w:val="000000"/>
          <w:sz w:val="21"/>
        </w:rPr>
        <w:t xml:space="preserve"> (Notice ARC 7642B,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Emergency ARC 8319B, IAB 12/2/09, effective 11/1/09]</w:t>
      </w:r>
    </w:p>
    <w:p>
      <w:pPr>
        <w:spacing w:before="0" w:after="0"/>
        <w:ind w:left="120"/>
        <w:jc w:val="center"/>
      </w:pPr>
      <w:r>
        <w:rPr>
          <w:rFonts w:ascii="Times New Roman" w:hAnsi="Times New Roman"/>
          <w:b w:val="false"/>
          <w:i w:val="false"/>
          <w:color w:val="000000"/>
          <w:sz w:val="21"/>
        </w:rPr>
        <w:t>[Filed Emergency ARC 8486B, IAB 1/13/10, effective 1/1/10]</w:t>
      </w:r>
    </w:p>
    <w:p>
      <w:pPr>
        <w:spacing w:before="0" w:after="0"/>
        <w:ind w:left="120"/>
        <w:jc w:val="center"/>
      </w:pPr>
      <w:r>
        <w:rPr>
          <w:rFonts w:ascii="Times New Roman" w:hAnsi="Times New Roman"/>
          <w:b w:val="false"/>
          <w:i w:val="false"/>
          <w:color w:val="000000"/>
          <w:sz w:val="21"/>
        </w:rPr>
        <w:t>[Filed ARC 8611B</w:t>
      </w:r>
      <w:r>
        <w:rPr>
          <w:rFonts w:ascii="Times New Roman" w:hAnsi="Times New Roman"/>
          <w:b w:val="false"/>
          <w:i w:val="false"/>
          <w:color w:val="000000"/>
          <w:sz w:val="21"/>
        </w:rPr>
        <w:t xml:space="preserve"> (Notice ARC 8320B, IAB 12/2/09)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8612B</w:t>
      </w:r>
      <w:r>
        <w:rPr>
          <w:rFonts w:ascii="Times New Roman" w:hAnsi="Times New Roman"/>
          <w:b w:val="false"/>
          <w:i w:val="false"/>
          <w:color w:val="000000"/>
          <w:sz w:val="21"/>
        </w:rPr>
        <w:t xml:space="preserve"> (Notice ARC 8438B,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6350C</w:t>
      </w:r>
      <w:r>
        <w:rPr>
          <w:rFonts w:ascii="Times New Roman" w:hAnsi="Times New Roman"/>
          <w:b w:val="false"/>
          <w:i w:val="false"/>
          <w:color w:val="000000"/>
          <w:sz w:val="21"/>
        </w:rPr>
        <w:t xml:space="preserve"> (Notice ARC 6250C, IAB 3/23/22)</w:t>
      </w:r>
      <w:r>
        <w:rPr>
          <w:rFonts w:ascii="Times New Roman" w:hAnsi="Times New Roman"/>
          <w:b w:val="false"/>
          <w:i w:val="false"/>
          <w:color w:val="000000"/>
          <w:sz w:val="21"/>
        </w:rPr>
        <w:t>, IAB 6/15/22, effective 8/1/22]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dhs.iowa.gov" Type="http://schemas.openxmlformats.org/officeDocument/2006/relationships/hyperlink" Id="rId5"/>
    <Relationship TargetMode="External" Target="http://www.dhs.iowa.gov" Type="http://schemas.openxmlformats.org/officeDocument/2006/relationships/hyperlink" Id="rId6"/>
    <Relationship TargetMode="External" Target="http://www.dhs.iowa.gov" Type="http://schemas.openxmlformats.org/officeDocument/2006/relationships/hyperlink" Id="rId7"/>
    <Relationship TargetMode="External" Target="https://www.legis.iowa.gov/docs/iac/rule/441.130.5.pdf" Type="http://schemas.openxmlformats.org/officeDocument/2006/relationships/hyperlink" Id="rId8"/>
    <Relationship TargetMode="External" Target="https://www.legis.iowa.gov/docs/iac/rule/441.130.3.pdf" Type="http://schemas.openxmlformats.org/officeDocument/2006/relationships/hyperlink" Id="rId9"/>
    <Relationship TargetMode="External" Target="https://www.legis.iowa.gov/docs/iac/rule/441.130.7.pdf" Type="http://schemas.openxmlformats.org/officeDocument/2006/relationships/hyperlink" Id="rId10"/>
    <Relationship TargetMode="External" Target="https://www.legis.iowa.gov/docs/iac/chapter/441.130.pdf" Type="http://schemas.openxmlformats.org/officeDocument/2006/relationships/hyperlink" Id="rId11"/>
    <Relationship TargetMode="External" Target="http://www.dhs.iowa.gov" Type="http://schemas.openxmlformats.org/officeDocument/2006/relationships/hyperlink" Id="rId12"/>
    <Relationship TargetMode="External" Target="https://www.legis.iowa.gov/docs/ico/chapter/234.6.pdf" Type="http://schemas.openxmlformats.org/officeDocument/2006/relationships/hyperlink" Id="rId13"/>
    <Relationship TargetMode="External" Target="https://www.legis.iowa.gov/docs/ico/chapter/232.188.pdf" Type="http://schemas.openxmlformats.org/officeDocument/2006/relationships/hyperlink" Id="rId14"/>
    <Relationship TargetMode="External" Target="https://www.legis.iowa.gov/docs/ico/chapter/232.188.pdf" Type="http://schemas.openxmlformats.org/officeDocument/2006/relationships/hyperlink" Id="rId15"/>
    <Relationship TargetMode="External" Target="https://www.legis.iowa.gov/docs/ico/chapter/21.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rule/441.153.18.pdf" Type="http://schemas.openxmlformats.org/officeDocument/2006/relationships/hyperlink" Id="rId18"/>
    <Relationship TargetMode="External" Target="https://www.legis.iowa.gov/docs/iac/rule/441.153.19.pdf" Type="http://schemas.openxmlformats.org/officeDocument/2006/relationships/hyperlink" Id="rId19"/>
    <Relationship TargetMode="External" Target="https://www.legis.iowa.gov/docs/ico/chapter/8.pdf" Type="http://schemas.openxmlformats.org/officeDocument/2006/relationships/hyperlink" Id="rId20"/>
    <Relationship TargetMode="External" Target="https://www.legis.iowa.gov/docs/iac/chapter/11.106.pdf" Type="http://schemas.openxmlformats.org/officeDocument/2006/relationships/hyperlink" Id="rId21"/>
    <Relationship TargetMode="External" Target="https://www.legis.iowa.gov/docs/iac/chapter/11.107.pdf" Type="http://schemas.openxmlformats.org/officeDocument/2006/relationships/hyperlink" Id="rId22"/>
    <Relationship TargetMode="External" Target="https://www.legis.iowa.gov/docs/iac/rule/441.153.15.pdf" Type="http://schemas.openxmlformats.org/officeDocument/2006/relationships/hyperlink" Id="rId23"/>
    <Relationship TargetMode="External" Target="https://www.legis.iowa.gov/docs/iac/rule/441.153.15.pdf" Type="http://schemas.openxmlformats.org/officeDocument/2006/relationships/hyperlink" Id="rId24"/>
    <Relationship TargetMode="External" Target="https://www.legis.iowa.gov/docs/ico/chapter/232.188.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