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152</w:t>
      </w:r>
    </w:p>
    <w:p>
      <w:pPr>
        <w:spacing w:before="0" w:after="0"/>
        <w:ind w:left="120"/>
        <w:jc w:val="center"/>
      </w:pPr>
      <w:r>
        <w:rPr>
          <w:rFonts w:ascii="Times New Roman" w:hAnsi="Times New Roman"/>
          <w:b w:val="false"/>
          <w:i w:val="false"/>
          <w:color w:val="000000"/>
          <w:sz w:val="21"/>
        </w:rPr>
        <w:t>FOSTER CARE CONTRACTING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12/1/31</w:t>
      </w:r>
    </w:p>
    <w:p>
      <w:pPr>
        <w:spacing w:before="0" w:after="0"/>
        <w:ind w:left="120"/>
        <w:jc w:val="both"/>
      </w:pPr>
      <w:r>
        <w:rPr>
          <w:rFonts w:ascii="Times New Roman" w:hAnsi="Times New Roman"/>
          <w:b/>
          <w:i w:val="false"/>
          <w:color w:val="000000"/>
          <w:sz w:val="22"/>
        </w:rPr>
        <w:t>441—152.1</w:t>
      </w:r>
      <w:r>
        <w:rPr>
          <w:rFonts w:ascii="Times New Roman" w:hAnsi="Times New Roman"/>
          <w:b/>
          <w:i w:val="false"/>
          <w:color w:val="000000"/>
          <w:sz w:val="22"/>
        </w:rPr>
        <w:t xml:space="preserve">(234)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“Affiliates”</w:t>
      </w:r>
      <w:r>
        <w:rPr>
          <w:rFonts w:ascii="Times New Roman" w:hAnsi="Times New Roman"/>
          <w:b w:val="false"/>
          <w:i w:val="false"/>
          <w:color w:val="000000"/>
          <w:sz w:val="22"/>
        </w:rPr>
        <w:t> </w:t>
      </w:r>
      <w:r>
        <w:rPr>
          <w:rFonts w:ascii="Times New Roman" w:hAnsi="Times New Roman"/>
          <w:b w:val="false"/>
          <w:i w:val="false"/>
          <w:color w:val="000000"/>
          <w:sz w:val="22"/>
        </w:rPr>
        <w:t>means persons having a relationship such that any one of them directly or indirectly controls or has the power to control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“Authorized representative”</w:t>
      </w:r>
      <w:r>
        <w:rPr>
          <w:rFonts w:ascii="Times New Roman" w:hAnsi="Times New Roman"/>
          <w:b w:val="false"/>
          <w:i w:val="false"/>
          <w:color w:val="000000"/>
          <w:sz w:val="22"/>
        </w:rPr>
        <w:t> </w:t>
      </w:r>
      <w:r>
        <w:rPr>
          <w:rFonts w:ascii="Times New Roman" w:hAnsi="Times New Roman"/>
          <w:b w:val="false"/>
          <w:i w:val="false"/>
          <w:color w:val="000000"/>
          <w:sz w:val="22"/>
        </w:rPr>
        <w:t>means that person appointed to carry out audit procedures, including an assigned auditor, fiscal consultant, or agent contracted for a specific audit or audit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234.1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“Claim”</w:t>
      </w:r>
      <w:r>
        <w:rPr>
          <w:rFonts w:ascii="Times New Roman" w:hAnsi="Times New Roman"/>
          <w:b w:val="false"/>
          <w:i w:val="false"/>
          <w:color w:val="000000"/>
          <w:sz w:val="22"/>
        </w:rPr>
        <w:t> </w:t>
      </w:r>
      <w:r>
        <w:rPr>
          <w:rFonts w:ascii="Times New Roman" w:hAnsi="Times New Roman"/>
          <w:b w:val="false"/>
          <w:i w:val="false"/>
          <w:color w:val="000000"/>
          <w:sz w:val="22"/>
        </w:rPr>
        <w:t>means each record the department receives that tells the amount of requested payment and the service rendered by a provider to a child and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“Client”</w:t>
      </w:r>
      <w:r>
        <w:rPr>
          <w:rFonts w:ascii="Times New Roman" w:hAnsi="Times New Roman"/>
          <w:b w:val="false"/>
          <w:i w:val="false"/>
          <w:color w:val="000000"/>
          <w:sz w:val="22"/>
        </w:rPr>
        <w:t> </w:t>
      </w:r>
      <w:r>
        <w:rPr>
          <w:rFonts w:ascii="Times New Roman" w:hAnsi="Times New Roman"/>
          <w:b w:val="false"/>
          <w:i w:val="false"/>
          <w:color w:val="000000"/>
          <w:sz w:val="22"/>
        </w:rPr>
        <w:t>means a child who has been found to be eligible for foster care services through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“Confidence level”</w:t>
      </w:r>
      <w:r>
        <w:rPr>
          <w:rFonts w:ascii="Times New Roman" w:hAnsi="Times New Roman"/>
          <w:b w:val="false"/>
          <w:i w:val="false"/>
          <w:color w:val="000000"/>
          <w:sz w:val="22"/>
        </w:rPr>
        <w:t> </w:t>
      </w:r>
      <w:r>
        <w:rPr>
          <w:rFonts w:ascii="Times New Roman" w:hAnsi="Times New Roman"/>
          <w:b w:val="false"/>
          <w:i w:val="false"/>
          <w:color w:val="000000"/>
          <w:sz w:val="22"/>
        </w:rPr>
        <w:t>means the probability that an overpayment or underpayment rate determined from a random sample of charges is less than or equal to the rate that exists in the sample from which the sample was drawn.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“Contract”</w:t>
      </w:r>
      <w:r>
        <w:rPr>
          <w:rFonts w:ascii="Times New Roman" w:hAnsi="Times New Roman"/>
          <w:b w:val="false"/>
          <w:i w:val="false"/>
          <w:color w:val="000000"/>
          <w:sz w:val="22"/>
        </w:rPr>
        <w:t> </w:t>
      </w:r>
      <w:r>
        <w:rPr>
          <w:rFonts w:ascii="Times New Roman" w:hAnsi="Times New Roman"/>
          <w:b w:val="false"/>
          <w:i w:val="false"/>
          <w:color w:val="000000"/>
          <w:sz w:val="22"/>
        </w:rPr>
        <w:t>means a formal written agreement between the department and a provider of foster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“Extrapolation”</w:t>
      </w:r>
      <w:r>
        <w:rPr>
          <w:rFonts w:ascii="Times New Roman" w:hAnsi="Times New Roman"/>
          <w:b w:val="false"/>
          <w:i w:val="false"/>
          <w:color w:val="000000"/>
          <w:sz w:val="22"/>
        </w:rPr>
        <w:t> </w:t>
      </w:r>
      <w:r>
        <w:rPr>
          <w:rFonts w:ascii="Times New Roman" w:hAnsi="Times New Roman"/>
          <w:b w:val="false"/>
          <w:i w:val="false"/>
          <w:color w:val="000000"/>
          <w:sz w:val="22"/>
        </w:rPr>
        <w:t>means using sample data meeting the confidence level requirement to estimate the total dollars of overpayment or underpayment.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“Family,”</w:t>
      </w:r>
      <w:r>
        <w:rPr>
          <w:rFonts w:ascii="Times New Roman" w:hAnsi="Times New Roman"/>
          <w:b w:val="false"/>
          <w:i w:val="false"/>
          <w:color w:val="000000"/>
          <w:sz w:val="22"/>
        </w:rPr>
        <w:t> </w:t>
      </w:r>
      <w:r>
        <w:rPr>
          <w:rFonts w:ascii="Times New Roman" w:hAnsi="Times New Roman"/>
          <w:b w:val="false"/>
          <w:i w:val="false"/>
          <w:color w:val="000000"/>
          <w:sz w:val="22"/>
        </w:rPr>
        <w:t>for purposes of child welfare service delivery, includes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natural or adoptive parents, stepparents, domestic partner of the natural or adoptive parent, and children who reside in the same household.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child who lives with an adult related to the child within the fourth degree of consanguinity and the adult relatives within the fourth degree of consanguinity in the child’s household who are responsible for the child’s supervision. Relatives within the fourth degree of consanguinity include full or half-siblings, aunts, uncles, great-aunts, great-uncles, nieces, great-nieces, nephews, great-nephews, grandparents, great-grandparents, great-great-grandparents, and first cousins.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child who lives alone or who resides with a person or persons not legally responsible for the child’s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“Fiscal record”</w:t>
      </w:r>
      <w:r>
        <w:rPr>
          <w:rFonts w:ascii="Times New Roman" w:hAnsi="Times New Roman"/>
          <w:b w:val="false"/>
          <w:i w:val="false"/>
          <w:color w:val="000000"/>
          <w:sz w:val="22"/>
        </w:rPr>
        <w:t> </w:t>
      </w:r>
      <w:r>
        <w:rPr>
          <w:rFonts w:ascii="Times New Roman" w:hAnsi="Times New Roman"/>
          <w:b w:val="false"/>
          <w:i w:val="false"/>
          <w:color w:val="000000"/>
          <w:sz w:val="22"/>
        </w:rPr>
        <w:t>means a tangible and legible history that documents financial and statistical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“Juvenile court officer”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appointed as a juvenile court officer or chief juvenile court officer under Iowa Code chapter </w:t>
      </w:r>
      <w:hyperlink r:id="rId6">
        <w:r>
          <w:rPr>
            <w:rStyle w:val="Hyperlink"/>
            <w:rFonts w:ascii="Times New Roman" w:hAnsi="Times New Roman"/>
            <w:b w:val="false"/>
            <w:i w:val="false"/>
            <w:color w:val="000000"/>
            <w:sz w:val="22"/>
          </w:rPr>
          <w:t>602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“Overpayment”</w:t>
      </w:r>
      <w:r>
        <w:rPr>
          <w:rFonts w:ascii="Times New Roman" w:hAnsi="Times New Roman"/>
          <w:b w:val="false"/>
          <w:i w:val="false"/>
          <w:color w:val="000000"/>
          <w:sz w:val="22"/>
        </w:rPr>
        <w:t> </w:t>
      </w:r>
      <w:r>
        <w:rPr>
          <w:rFonts w:ascii="Times New Roman" w:hAnsi="Times New Roman"/>
          <w:b w:val="false"/>
          <w:i w:val="false"/>
          <w:color w:val="000000"/>
          <w:sz w:val="22"/>
        </w:rPr>
        <w:t>means any payment or portion of a payment made to a provider that is incorrect according to the laws and rules applicable to foster care services and results in a payment greater than that to which the provider is entitled.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“Probation”</w:t>
      </w:r>
      <w:r>
        <w:rPr>
          <w:rFonts w:ascii="Times New Roman" w:hAnsi="Times New Roman"/>
          <w:b w:val="false"/>
          <w:i w:val="false"/>
          <w:color w:val="000000"/>
          <w:sz w:val="22"/>
        </w:rPr>
        <w:t> </w:t>
      </w:r>
      <w:r>
        <w:rPr>
          <w:rFonts w:ascii="Times New Roman" w:hAnsi="Times New Roman"/>
          <w:b w:val="false"/>
          <w:i w:val="false"/>
          <w:color w:val="000000"/>
          <w:sz w:val="22"/>
        </w:rPr>
        <w:t>means a specified period of conditional participation in the provision of foster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“Provider”</w:t>
      </w:r>
      <w:r>
        <w:rPr>
          <w:rFonts w:ascii="Times New Roman" w:hAnsi="Times New Roman"/>
          <w:b w:val="false"/>
          <w:i w:val="false"/>
          <w:color w:val="000000"/>
          <w:sz w:val="22"/>
        </w:rPr>
        <w:t> </w:t>
      </w:r>
      <w:r>
        <w:rPr>
          <w:rFonts w:ascii="Times New Roman" w:hAnsi="Times New Roman"/>
          <w:b w:val="false"/>
          <w:i w:val="false"/>
          <w:color w:val="000000"/>
          <w:sz w:val="22"/>
        </w:rPr>
        <w:t>means the entity that has executed a contract with the department to provide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“Random sample”</w:t>
      </w:r>
      <w:r>
        <w:rPr>
          <w:rFonts w:ascii="Times New Roman" w:hAnsi="Times New Roman"/>
          <w:b w:val="false"/>
          <w:i w:val="false"/>
          <w:color w:val="000000"/>
          <w:sz w:val="22"/>
        </w:rPr>
        <w:t> </w:t>
      </w:r>
      <w:r>
        <w:rPr>
          <w:rFonts w:ascii="Times New Roman" w:hAnsi="Times New Roman"/>
          <w:b w:val="false"/>
          <w:i w:val="false"/>
          <w:color w:val="000000"/>
          <w:sz w:val="22"/>
        </w:rPr>
        <w:t>means a systematic (or every “nth” unit) sample for which each item in the sample has an equal probability of being selected.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“Referral worker”</w:t>
      </w:r>
      <w:r>
        <w:rPr>
          <w:rFonts w:ascii="Times New Roman" w:hAnsi="Times New Roman"/>
          <w:b w:val="false"/>
          <w:i w:val="false"/>
          <w:color w:val="000000"/>
          <w:sz w:val="22"/>
        </w:rPr>
        <w:t> </w:t>
      </w:r>
      <w:r>
        <w:rPr>
          <w:rFonts w:ascii="Times New Roman" w:hAnsi="Times New Roman"/>
          <w:b w:val="false"/>
          <w:i w:val="false"/>
          <w:color w:val="000000"/>
          <w:sz w:val="22"/>
        </w:rPr>
        <w:t>means the department worker or juvenile court officer who refers the case to a provider and who is responsible for carrying out the follow-up activities of determining client eligibility and ensuring that the service authorization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authorization”</w:t>
      </w:r>
      <w:r>
        <w:rPr>
          <w:rFonts w:ascii="Times New Roman" w:hAnsi="Times New Roman"/>
          <w:b w:val="false"/>
          <w:i w:val="false"/>
          <w:color w:val="000000"/>
          <w:sz w:val="22"/>
        </w:rPr>
        <w:t> </w:t>
      </w:r>
      <w:r>
        <w:rPr>
          <w:rFonts w:ascii="Times New Roman" w:hAnsi="Times New Roman"/>
          <w:b w:val="false"/>
          <w:i w:val="false"/>
          <w:color w:val="000000"/>
          <w:sz w:val="22"/>
        </w:rPr>
        <w:t>means the process of determining service necessity and the level of care and number of units of service to be provided to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record”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tangible, and legible file that records service-related activities set forth in subrule </w:t>
      </w:r>
      <w:hyperlink r:id="rId7">
        <w:r>
          <w:rPr>
            <w:rStyle w:val="Hyperlink"/>
            <w:rFonts w:ascii="Times New Roman" w:hAnsi="Times New Roman"/>
            <w:b w:val="false"/>
            <w:i w:val="false"/>
            <w:color w:val="000000"/>
            <w:sz w:val="22"/>
          </w:rPr>
          <w:t>152.2(4)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“Site”</w:t>
      </w:r>
      <w:r>
        <w:rPr>
          <w:rFonts w:ascii="Times New Roman" w:hAnsi="Times New Roman"/>
          <w:b w:val="false"/>
          <w:i w:val="false"/>
          <w:color w:val="000000"/>
          <w:sz w:val="22"/>
        </w:rPr>
        <w:t> </w:t>
      </w:r>
      <w:r>
        <w:rPr>
          <w:rFonts w:ascii="Times New Roman" w:hAnsi="Times New Roman"/>
          <w:b w:val="false"/>
          <w:i w:val="false"/>
          <w:color w:val="000000"/>
          <w:sz w:val="22"/>
        </w:rPr>
        <w:t>means each licensed location of the foster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“Underpayment”</w:t>
      </w:r>
      <w:r>
        <w:rPr>
          <w:rFonts w:ascii="Times New Roman" w:hAnsi="Times New Roman"/>
          <w:b w:val="false"/>
          <w:i w:val="false"/>
          <w:color w:val="000000"/>
          <w:sz w:val="22"/>
        </w:rPr>
        <w:t> </w:t>
      </w:r>
      <w:r>
        <w:rPr>
          <w:rFonts w:ascii="Times New Roman" w:hAnsi="Times New Roman"/>
          <w:b w:val="false"/>
          <w:i w:val="false"/>
          <w:color w:val="000000"/>
          <w:sz w:val="22"/>
        </w:rPr>
        <w:t>means any payment or portion of a payment not made to a provider for services delivered to eligible recipients according to the laws and rules applicable to the foster care services program and to which the provider is entitled.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“Unit of service”</w:t>
      </w:r>
      <w:r>
        <w:rPr>
          <w:rFonts w:ascii="Times New Roman" w:hAnsi="Times New Roman"/>
          <w:b w:val="false"/>
          <w:i w:val="false"/>
          <w:color w:val="000000"/>
          <w:sz w:val="22"/>
        </w:rPr>
        <w:t> </w:t>
      </w:r>
      <w:r>
        <w:rPr>
          <w:rFonts w:ascii="Times New Roman" w:hAnsi="Times New Roman"/>
          <w:b w:val="false"/>
          <w:i w:val="false"/>
          <w:color w:val="000000"/>
          <w:sz w:val="22"/>
        </w:rPr>
        <w:t>means one day for group care and child welfare emergency services shelter.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“Withholding of payments”</w:t>
      </w:r>
      <w:r>
        <w:rPr>
          <w:rFonts w:ascii="Times New Roman" w:hAnsi="Times New Roman"/>
          <w:b w:val="false"/>
          <w:i w:val="false"/>
          <w:color w:val="000000"/>
          <w:sz w:val="22"/>
        </w:rPr>
        <w:t> </w:t>
      </w:r>
      <w:r>
        <w:rPr>
          <w:rFonts w:ascii="Times New Roman" w:hAnsi="Times New Roman"/>
          <w:b w:val="false"/>
          <w:i w:val="false"/>
          <w:color w:val="000000"/>
          <w:sz w:val="22"/>
        </w:rPr>
        <w:t>means a reduction or adjustment of the amounts paid to a provider on pending and subsequently submitted claims for purposes of offsetting overpayments previously made to the provider.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0670D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441—152.2</w:t>
      </w:r>
      <w:r>
        <w:rPr>
          <w:rFonts w:ascii="Times New Roman" w:hAnsi="Times New Roman"/>
          <w:b/>
          <w:i w:val="false"/>
          <w:color w:val="000000"/>
          <w:sz w:val="22"/>
        </w:rPr>
        <w:t xml:space="preserve">(234) </w:t>
      </w:r>
      <w:r>
        <w:rPr>
          <w:rFonts w:ascii="Times New Roman" w:hAnsi="Times New Roman"/>
          <w:b/>
          <w:i w:val="false"/>
          <w:color w:val="000000"/>
          <w:sz w:val="22"/>
        </w:rPr>
        <w:t xml:space="preserve">Conditions of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152.2(1)</w:t>
      </w:r>
      <w:r>
        <w:rPr>
          <w:rFonts w:ascii="Times New Roman" w:hAnsi="Times New Roman"/>
          <w:b w:val="false"/>
          <w:i w:val="false"/>
          <w:color w:val="000000"/>
          <w:sz w:val="22"/>
        </w:rPr>
        <w:t> </w:t>
      </w:r>
      <w:r>
        <w:rPr>
          <w:rFonts w:ascii="Times New Roman" w:hAnsi="Times New Roman"/>
          <w:b w:val="false"/>
          <w:i/>
          <w:color w:val="000000"/>
          <w:sz w:val="22"/>
        </w:rPr>
        <w:t xml:space="preserve">Provider licensure. </w:t>
      </w:r>
      <w:r>
        <w:rPr>
          <w:rFonts w:ascii="Times New Roman" w:hAnsi="Times New Roman"/>
          <w:b w:val="false"/>
          <w:i w:val="false"/>
          <w:color w:val="000000"/>
          <w:sz w:val="22"/>
        </w:rPr>
        <w:t>A provider facility shall obtain licensure prior to accepting placements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152.2(2)</w:t>
      </w:r>
      <w:r>
        <w:rPr>
          <w:rFonts w:ascii="Times New Roman" w:hAnsi="Times New Roman"/>
          <w:b w:val="false"/>
          <w:i w:val="false"/>
          <w:color w:val="000000"/>
          <w:sz w:val="22"/>
        </w:rPr>
        <w:t> </w:t>
      </w:r>
      <w:r>
        <w:rPr>
          <w:rFonts w:ascii="Times New Roman" w:hAnsi="Times New Roman"/>
          <w:b w:val="false"/>
          <w:i/>
          <w:color w:val="000000"/>
          <w:sz w:val="22"/>
        </w:rPr>
        <w:t xml:space="preserve">Provider staffing. </w:t>
      </w:r>
      <w:r>
        <w:rPr>
          <w:rFonts w:ascii="Times New Roman" w:hAnsi="Times New Roman"/>
          <w:b w:val="false"/>
          <w:i w:val="false"/>
          <w:color w:val="000000"/>
          <w:sz w:val="22"/>
        </w:rPr>
        <w:t xml:space="preserve">At a minimum, all providers shall meet all licensure requirements for staff qualifications, training, and number of staff pursuant to 441—Chapter </w:t>
      </w:r>
      <w:hyperlink r:id="rId8">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108</w:t>
        </w:r>
      </w:hyperlink>
      <w:r>
        <w:rPr>
          <w:rFonts w:ascii="Times New Roman" w:hAnsi="Times New Roman"/>
          <w:b w:val="false"/>
          <w:i w:val="false"/>
          <w:color w:val="000000"/>
          <w:sz w:val="22"/>
        </w:rPr>
        <w:t xml:space="preserve">, or </w:t>
      </w:r>
      <w:hyperlink r:id="rId10">
        <w:r>
          <w:rPr>
            <w:rStyle w:val="Hyperlink"/>
            <w:rFonts w:ascii="Times New Roman" w:hAnsi="Times New Roman"/>
            <w:b w:val="false"/>
            <w:i w:val="false"/>
            <w:color w:val="000000"/>
            <w:sz w:val="22"/>
          </w:rPr>
          <w:t>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152.2(3)</w:t>
      </w:r>
      <w:r>
        <w:rPr>
          <w:rFonts w:ascii="Times New Roman" w:hAnsi="Times New Roman"/>
          <w:b w:val="false"/>
          <w:i w:val="false"/>
          <w:color w:val="000000"/>
          <w:sz w:val="22"/>
        </w:rPr>
        <w:t> </w:t>
      </w:r>
      <w:r>
        <w:rPr>
          <w:rFonts w:ascii="Times New Roman" w:hAnsi="Times New Roman"/>
          <w:b w:val="false"/>
          <w:i/>
          <w:color w:val="000000"/>
          <w:sz w:val="22"/>
        </w:rPr>
        <w:t xml:space="preserve">Provider charges. </w:t>
      </w:r>
      <w:r>
        <w:rPr>
          <w:rFonts w:ascii="Times New Roman" w:hAnsi="Times New Roman"/>
          <w:b w:val="false"/>
          <w:i w:val="false"/>
          <w:color w:val="000000"/>
          <w:sz w:val="22"/>
        </w:rPr>
        <w:t>A provider cannot charge department clients more than it receives for the same foster care services provided to nondepartment clients. The provider shall agree not to require any fee from department clients unless a fee is required by the department and is consistent with federal regulation and state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152.2(4)</w:t>
      </w:r>
      <w:r>
        <w:rPr>
          <w:rFonts w:ascii="Times New Roman" w:hAnsi="Times New Roman"/>
          <w:b w:val="false"/>
          <w:i w:val="false"/>
          <w:color w:val="000000"/>
          <w:sz w:val="22"/>
        </w:rPr>
        <w:t> </w:t>
      </w:r>
      <w:r>
        <w:rPr>
          <w:rFonts w:ascii="Times New Roman" w:hAnsi="Times New Roman"/>
          <w:b w:val="false"/>
          <w:i/>
          <w:color w:val="000000"/>
          <w:sz w:val="22"/>
        </w:rPr>
        <w:t xml:space="preserve">Maintenance of service records. </w:t>
      </w:r>
      <w:r>
        <w:rPr>
          <w:rFonts w:ascii="Times New Roman" w:hAnsi="Times New Roman"/>
          <w:b w:val="false"/>
          <w:i w:val="false"/>
          <w:color w:val="000000"/>
          <w:sz w:val="22"/>
        </w:rPr>
        <w:t>A provider shall maintain complete and legible records as required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foster group care and shelter care, the provider shall establish and maintain confidential, individual service records for each client receiving foster care services. The service records must adequately support the provision of child welfare services and group care maintenance. The service record shall include, at a minimum, those items identified in rule </w:t>
      </w:r>
      <w:hyperlink r:id="rId11">
        <w:r>
          <w:rPr>
            <w:rStyle w:val="Hyperlink"/>
            <w:rFonts w:ascii="Times New Roman" w:hAnsi="Times New Roman"/>
            <w:b w:val="false"/>
            <w:i w:val="false"/>
            <w:color w:val="000000"/>
            <w:sz w:val="22"/>
          </w:rPr>
          <w:t>441—114.11</w:t>
        </w:r>
      </w:hyperlink>
      <w:r>
        <w:rPr>
          <w:rFonts w:ascii="Times New Roman" w:hAnsi="Times New Roman"/>
          <w:b w:val="false"/>
          <w:i w:val="false"/>
          <w:color w:val="000000"/>
          <w:sz w:val="22"/>
        </w:rPr>
        <w:t xml:space="preserve">(237) and </w:t>
      </w:r>
      <w:hyperlink r:id="rId12">
        <w:r>
          <w:rPr>
            <w:rStyle w:val="Hyperlink"/>
            <w:rFonts w:ascii="Times New Roman" w:hAnsi="Times New Roman"/>
            <w:b w:val="false"/>
            <w:i w:val="false"/>
            <w:color w:val="000000"/>
            <w:sz w:val="22"/>
          </w:rPr>
          <w:t>441—Chapter 105</w:t>
        </w:r>
      </w:hyperlink>
      <w:r>
        <w:rPr>
          <w:rFonts w:ascii="Times New Roman" w:hAnsi="Times New Roman"/>
          <w:b w:val="false"/>
          <w:i w:val="false"/>
          <w:color w:val="000000"/>
          <w:sz w:val="22"/>
        </w:rPr>
        <w:t xml:space="preserve"> and shall also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Additional reports, if requested by the referral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Referral and Authorization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Daily documentation of billed per diem services. The documentation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child’s first and last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month, day, and year service was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first and last names of the persons who or organizations that provided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clear description of the specific service rendered, including interventions, actions, and activities performed that support the provision of child welfare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Notes, which shall be entered no less than every seven calendar days, indicating the child’s general progress in regard to the child’s care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problem areas or unusual behavior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supervised apartment living, the provider shall establish and maintain confidential, individual service records for each client receiving supervised apartment living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maintain records or failure to make records available to the department or to its authorized representatives upon request may result in a notice of violation and recoupment of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152.2(5)</w:t>
      </w:r>
      <w:r>
        <w:rPr>
          <w:rFonts w:ascii="Times New Roman" w:hAnsi="Times New Roman"/>
          <w:b w:val="false"/>
          <w:i w:val="false"/>
          <w:color w:val="000000"/>
          <w:sz w:val="22"/>
        </w:rPr>
        <w:t> </w:t>
      </w:r>
      <w:r>
        <w:rPr>
          <w:rFonts w:ascii="Times New Roman" w:hAnsi="Times New Roman"/>
          <w:b w:val="false"/>
          <w:i/>
          <w:color w:val="000000"/>
          <w:sz w:val="22"/>
        </w:rPr>
        <w:t xml:space="preserve">Maintenance of financial and statistical records. </w:t>
      </w:r>
      <w:r>
        <w:rPr>
          <w:rFonts w:ascii="Times New Roman" w:hAnsi="Times New Roman"/>
          <w:b w:val="false"/>
          <w:i w:val="false"/>
          <w:color w:val="000000"/>
          <w:sz w:val="22"/>
        </w:rPr>
        <w:t>The provider shall maintain sufficient financial and statistical records, including program and census data, to document the validity of the reports submitted to the department. The records shall be available for review at any time during normal business hours by department personnel, the department’s fiscal consultant, and state or federal audit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a minimum, financial and statistical records shall include all revenue and expenses supported by a provider’s general ledger and documentation on file in the provider’s office. These records include,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Payroll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Capital asset schedules.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canceled checks, deposit slips, and invoices (paid and unpaid).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Audit reports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board of directors’ minutes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Loan agreements and other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Reviewable, legible census reports and documentation of units of service provided to department clients that identify the individual client and are kept on a daily basis and summarized in a monthly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For nondepartment clients, sufficient documentation of utilization to establish a complete unit of service 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provider shall maintain a list of all staff and supervisors providing foster care services and their qualifications for each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provider has an independent audit conducted, a firm not related to the provider shall conduct the audit. The provider shall submit a copy of the independent audit report to the department within 30 days of receipt of the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152.2(6)</w:t>
      </w:r>
      <w:r>
        <w:rPr>
          <w:rFonts w:ascii="Times New Roman" w:hAnsi="Times New Roman"/>
          <w:b w:val="false"/>
          <w:i w:val="false"/>
          <w:color w:val="000000"/>
          <w:sz w:val="22"/>
        </w:rPr>
        <w:t> </w:t>
      </w:r>
      <w:r>
        <w:rPr>
          <w:rFonts w:ascii="Times New Roman" w:hAnsi="Times New Roman"/>
          <w:b w:val="false"/>
          <w:i/>
          <w:color w:val="000000"/>
          <w:sz w:val="22"/>
        </w:rPr>
        <w:t xml:space="preserve">Cost report. </w:t>
      </w:r>
      <w:r>
        <w:rPr>
          <w:rFonts w:ascii="Times New Roman" w:hAnsi="Times New Roman"/>
          <w:b w:val="false"/>
          <w:i w:val="false"/>
          <w:color w:val="000000"/>
          <w:sz w:val="22"/>
        </w:rPr>
        <w:t>Providers shall complete the Combined Cost Report Form as required by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Due date. </w:t>
      </w:r>
      <w:r>
        <w:rPr>
          <w:rFonts w:ascii="Times New Roman" w:hAnsi="Times New Roman"/>
          <w:b w:val="false"/>
          <w:i w:val="false"/>
          <w:color w:val="000000"/>
          <w:sz w:val="22"/>
        </w:rPr>
        <w:t>The cost report shall be submitted to the department no later than three months after the close of the provider’s established fiscal year. The provider may request a one-month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Opinion of accountant. </w:t>
      </w:r>
      <w:r>
        <w:rPr>
          <w:rFonts w:ascii="Times New Roman" w:hAnsi="Times New Roman"/>
          <w:b w:val="false"/>
          <w:i w:val="false"/>
          <w:color w:val="000000"/>
          <w:sz w:val="22"/>
        </w:rPr>
        <w:t>The department may require that an opinion of a certified public accountant or public accountant accompany the report when adjustments made to prior reports indicate noncompliance with reporting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County reimbursement for child welfare services shelter costs. </w:t>
      </w:r>
      <w:r>
        <w:rPr>
          <w:rFonts w:ascii="Times New Roman" w:hAnsi="Times New Roman"/>
          <w:b w:val="false"/>
          <w:i w:val="false"/>
          <w:color w:val="000000"/>
          <w:sz w:val="22"/>
        </w:rPr>
        <w:t xml:space="preserve">If a shelter care provider’s actual and allowable costs as set forth in </w:t>
      </w:r>
      <w:hyperlink r:id="rId13">
        <w:r>
          <w:rPr>
            <w:rStyle w:val="Hyperlink"/>
            <w:rFonts w:ascii="Times New Roman" w:hAnsi="Times New Roman"/>
            <w:b w:val="false"/>
            <w:i w:val="false"/>
            <w:color w:val="000000"/>
            <w:sz w:val="22"/>
          </w:rPr>
          <w:t>441—Chapter 156</w:t>
        </w:r>
      </w:hyperlink>
      <w:r>
        <w:rPr>
          <w:rFonts w:ascii="Times New Roman" w:hAnsi="Times New Roman"/>
          <w:b w:val="false"/>
          <w:i w:val="false"/>
          <w:color w:val="000000"/>
          <w:sz w:val="22"/>
        </w:rPr>
        <w:t xml:space="preserve"> for a child’s shelter care placement exceed the amount the department is authorized to pay and the provider is reimbursed by the child’s county of legal settlement for the difference between actual and allowable costs and the amount reimbursed by the department, the amount paid by the county cannot be included by the department in its reimbursement rate determination, as long as the amount paid is not greater than the provider’s actual and allowable costs or the statewide average of actual and allowable costs as identified in annual appropriations, whichever is less.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0670D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441—152.3</w:t>
      </w:r>
      <w:r>
        <w:rPr>
          <w:rFonts w:ascii="Times New Roman" w:hAnsi="Times New Roman"/>
          <w:b/>
          <w:i w:val="false"/>
          <w:color w:val="000000"/>
          <w:sz w:val="22"/>
        </w:rPr>
        <w:t xml:space="preserve">(234) </w:t>
      </w:r>
      <w:r>
        <w:rPr>
          <w:rFonts w:ascii="Times New Roman" w:hAnsi="Times New Roman"/>
          <w:b/>
          <w:i w:val="false"/>
          <w:color w:val="000000"/>
          <w:sz w:val="22"/>
        </w:rPr>
        <w:t xml:space="preserve">Provider reviews. </w:t>
      </w:r>
      <w:r>
        <w:rPr>
          <w:rFonts w:ascii="Times New Roman" w:hAnsi="Times New Roman"/>
          <w:b w:val="false"/>
          <w:i w:val="false"/>
          <w:color w:val="000000"/>
          <w:sz w:val="22"/>
        </w:rPr>
        <w:t>The department may, at its discretion, review any provider at any time. Records generated and maintained by the department or its fiscal agent may be used by reviewers and in all proceedings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152.3(1)</w:t>
      </w:r>
      <w:r>
        <w:rPr>
          <w:rFonts w:ascii="Times New Roman" w:hAnsi="Times New Roman"/>
          <w:b w:val="false"/>
          <w:i w:val="false"/>
          <w:color w:val="000000"/>
          <w:sz w:val="22"/>
        </w:rPr>
        <w:t> </w:t>
      </w:r>
      <w:r>
        <w:rPr>
          <w:rFonts w:ascii="Times New Roman" w:hAnsi="Times New Roman"/>
          <w:b w:val="false"/>
          <w:i/>
          <w:color w:val="000000"/>
          <w:sz w:val="22"/>
        </w:rPr>
        <w:t xml:space="preserve">Review of provider records. </w:t>
      </w:r>
      <w:r>
        <w:rPr>
          <w:rFonts w:ascii="Times New Roman" w:hAnsi="Times New Roman"/>
          <w:b w:val="false"/>
          <w:i w:val="false"/>
          <w:color w:val="000000"/>
          <w:sz w:val="22"/>
        </w:rPr>
        <w:t>The department has the authority to conduct a scheduled or unannounced visit to evaluate the adequacy of service records in compliance with the policies and procedures for foster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152.3(2)</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Upon proper identification, authorized representatives of the department have the right to review the service and fiscal records of the provider to determine whether: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has accurately paid claims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provider has furnished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provider has retained service records and fiscal records that substantiate claims submitted for payment during the review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Expenses reported to the department have been handled as required under subrule </w:t>
      </w:r>
      <w:hyperlink r:id="rId14">
        <w:r>
          <w:rPr>
            <w:rStyle w:val="Hyperlink"/>
            <w:rFonts w:ascii="Times New Roman" w:hAnsi="Times New Roman"/>
            <w:b w:val="false"/>
            <w:i w:val="false"/>
            <w:color w:val="000000"/>
            <w:sz w:val="22"/>
          </w:rPr>
          <w:t>152.2(6)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152.3(3)</w:t>
      </w:r>
      <w:r>
        <w:rPr>
          <w:rFonts w:ascii="Times New Roman" w:hAnsi="Times New Roman"/>
          <w:b w:val="false"/>
          <w:i w:val="false"/>
          <w:color w:val="000000"/>
          <w:sz w:val="22"/>
        </w:rPr>
        <w:t> </w:t>
      </w:r>
      <w:r>
        <w:rPr>
          <w:rFonts w:ascii="Times New Roman" w:hAnsi="Times New Roman"/>
          <w:b w:val="false"/>
          <w:i/>
          <w:color w:val="000000"/>
          <w:sz w:val="22"/>
        </w:rPr>
        <w:t xml:space="preserve">Method. </w:t>
      </w:r>
      <w:r>
        <w:rPr>
          <w:rFonts w:ascii="Times New Roman" w:hAnsi="Times New Roman"/>
          <w:b w:val="false"/>
          <w:i w:val="false"/>
          <w:color w:val="000000"/>
          <w:sz w:val="22"/>
        </w:rPr>
        <w:t>The department will select the appropriate method of conducting a review and will protect the confidential nature of the records being reviewed. The provider may be required to furnish records to the department. The provider may select the method of delivering any requested records to the department. Review procedures may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Comparing service and fiscal records with each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Interviewing clients and employees of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152.3(4)</w:t>
      </w:r>
      <w:r>
        <w:rPr>
          <w:rFonts w:ascii="Times New Roman" w:hAnsi="Times New Roman"/>
          <w:b w:val="false"/>
          <w:i w:val="false"/>
          <w:color w:val="000000"/>
          <w:sz w:val="22"/>
        </w:rPr>
        <w:t> </w:t>
      </w:r>
      <w:r>
        <w:rPr>
          <w:rFonts w:ascii="Times New Roman" w:hAnsi="Times New Roman"/>
          <w:b w:val="false"/>
          <w:i/>
          <w:color w:val="000000"/>
          <w:sz w:val="22"/>
        </w:rPr>
        <w:t xml:space="preserve">Sampling. </w:t>
      </w:r>
      <w:r>
        <w:rPr>
          <w:rFonts w:ascii="Times New Roman" w:hAnsi="Times New Roman"/>
          <w:b w:val="false"/>
          <w:i w:val="false"/>
          <w:color w:val="000000"/>
          <w:sz w:val="22"/>
        </w:rPr>
        <w:t>The department’s procedures for reviewing a provider’s service records may include the use of random sampling and extrapolation. When these procedures are used, all sampling will be performed within acceptable statistical methods, yielding not less than a 95 percent confidence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Findings. </w:t>
      </w:r>
      <w:r>
        <w:rPr>
          <w:rFonts w:ascii="Times New Roman" w:hAnsi="Times New Roman"/>
          <w:b w:val="false"/>
          <w:i w:val="false"/>
          <w:color w:val="000000"/>
          <w:sz w:val="22"/>
        </w:rPr>
        <w:t>The review findings generated through the review procedure constitute prima facie evidence in all department proceedings of the number and amount of requests for payment as submitted by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Extrapolation. </w:t>
      </w:r>
      <w:r>
        <w:rPr>
          <w:rFonts w:ascii="Times New Roman" w:hAnsi="Times New Roman"/>
          <w:b w:val="false"/>
          <w:i w:val="false"/>
          <w:color w:val="000000"/>
          <w:sz w:val="22"/>
        </w:rPr>
        <w:t>Findings of the sample will be extrapolated for the review period. The total of the payments determined to be in error in the review sample will be divided by the total payments in the reviewed sample to calculate the percentage of dollars paid in error. This percentage will then be multiplied by the total payments in the review sample to determine the extrapolated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Disagreement with findings. </w:t>
      </w:r>
      <w:r>
        <w:rPr>
          <w:rFonts w:ascii="Times New Roman" w:hAnsi="Times New Roman"/>
          <w:b w:val="false"/>
          <w:i w:val="false"/>
          <w:color w:val="000000"/>
          <w:sz w:val="22"/>
        </w:rPr>
        <w:t>When the provider disagrees with the department’s review findings and the findings have been generated through sampling and extrapolation, the provider may present evidence to show that the sample was invalid. The burden of proof of compliance rests with the provider. The evidence may include a 100 percent review of the provider records used by the department in the drawing of the department’s sample. This review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arranged and paid for by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conducted by a certified public accountant.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Demonstrate that bills and records not reviewed in the department’s sample complied with program regulations and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submitted to the department with all supporting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152.3(5)</w:t>
      </w:r>
      <w:r>
        <w:rPr>
          <w:rFonts w:ascii="Times New Roman" w:hAnsi="Times New Roman"/>
          <w:b w:val="false"/>
          <w:i w:val="false"/>
          <w:color w:val="000000"/>
          <w:sz w:val="22"/>
        </w:rPr>
        <w:t> </w:t>
      </w:r>
      <w:r>
        <w:rPr>
          <w:rFonts w:ascii="Times New Roman" w:hAnsi="Times New Roman"/>
          <w:b w:val="false"/>
          <w:i/>
          <w:color w:val="000000"/>
          <w:sz w:val="22"/>
        </w:rPr>
        <w:t xml:space="preserve">Actions based on review findings.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report the results of a review of provider records to concerned parties consistent with the provisions of </w:t>
      </w:r>
      <w:hyperlink r:id="rId15">
        <w:r>
          <w:rPr>
            <w:rStyle w:val="Hyperlink"/>
            <w:rFonts w:ascii="Times New Roman" w:hAnsi="Times New Roman"/>
            <w:b w:val="false"/>
            <w:i w:val="false"/>
            <w:color w:val="000000"/>
            <w:sz w:val="22"/>
          </w:rPr>
          <w:t>441—Chapter 2505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an overpayment is found, the department may do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repayment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Impose sanctions provided for in rule </w:t>
      </w:r>
      <w:hyperlink r:id="rId16">
        <w:r>
          <w:rPr>
            <w:rStyle w:val="Hyperlink"/>
            <w:rFonts w:ascii="Times New Roman" w:hAnsi="Times New Roman"/>
            <w:b w:val="false"/>
            <w:i w:val="false"/>
            <w:color w:val="000000"/>
            <w:sz w:val="22"/>
          </w:rPr>
          <w:t>441—152.4</w:t>
        </w:r>
      </w:hyperlink>
      <w:r>
        <w:rPr>
          <w:rFonts w:ascii="Times New Roman" w:hAnsi="Times New Roman"/>
          <w:b w:val="false"/>
          <w:i w:val="false"/>
          <w:color w:val="000000"/>
          <w:sz w:val="22"/>
        </w:rPr>
        <w:t>(234).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Investigate and refer the matter to an agency empowered to prosecute.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0670D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441—152.4</w:t>
      </w:r>
      <w:r>
        <w:rPr>
          <w:rFonts w:ascii="Times New Roman" w:hAnsi="Times New Roman"/>
          <w:b/>
          <w:i w:val="false"/>
          <w:color w:val="000000"/>
          <w:sz w:val="22"/>
        </w:rPr>
        <w:t xml:space="preserve">(234) </w:t>
      </w:r>
      <w:r>
        <w:rPr>
          <w:rFonts w:ascii="Times New Roman" w:hAnsi="Times New Roman"/>
          <w:b/>
          <w:i w:val="false"/>
          <w:color w:val="000000"/>
          <w:sz w:val="22"/>
        </w:rPr>
        <w:t xml:space="preserve">Sanctions against providers. </w:t>
      </w:r>
      <w:r>
        <w:rPr>
          <w:rFonts w:ascii="Times New Roman" w:hAnsi="Times New Roman"/>
          <w:b w:val="false"/>
          <w:i w:val="false"/>
          <w:color w:val="000000"/>
          <w:sz w:val="22"/>
        </w:rPr>
        <w:t>Failure to meet the requirements relevant to provider contracting, financial recordkeeping, billing and payment, and client recordkeeping may subject providers to sanctions.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152.4(1)</w:t>
      </w:r>
      <w:r>
        <w:rPr>
          <w:rFonts w:ascii="Times New Roman" w:hAnsi="Times New Roman"/>
          <w:b w:val="false"/>
          <w:i w:val="false"/>
          <w:color w:val="000000"/>
          <w:sz w:val="22"/>
        </w:rPr>
        <w:t> </w:t>
      </w:r>
      <w:r>
        <w:rPr>
          <w:rFonts w:ascii="Times New Roman" w:hAnsi="Times New Roman"/>
          <w:b w:val="false"/>
          <w:i/>
          <w:color w:val="000000"/>
          <w:sz w:val="22"/>
        </w:rPr>
        <w:t xml:space="preserve">Grounds for sanction. </w:t>
      </w:r>
      <w:r>
        <w:rPr>
          <w:rFonts w:ascii="Times New Roman" w:hAnsi="Times New Roman"/>
          <w:b w:val="false"/>
          <w:i w:val="false"/>
          <w:color w:val="000000"/>
          <w:sz w:val="22"/>
        </w:rPr>
        <w:t>The department may impose sanctions against a provider for committing one or more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Failing to provide and maintain the quality of the services to children and families within established standards,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Failing to meet standards required by state or federal law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Failing to correct deficiencies in provider operations after receiving notice of these deficiencies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Engaging in a course of conduct or performing an act that is in violation of state or federal regulations or continuing that conduct following notification that it should cease.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Violating any laws, regulations, or code of ethics governing the conduct of occupations or professions subject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Receiving a formal reprimand or censure by an association of the provider’s peers for unethical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Being suspended or terminated from participation in another governmental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Committing a negligent practice resulting in client death or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Failing to disclose or make available to the department or its authorized agent records of services provided to a child and family and records of payments made for those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Failing to provide accurate and auditable cost report information or engaging in deceptive billing practices, such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Presenting or causing to be presented for payment any false or deceptive claim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Submitting or causing to be submitted false information for the purpose of obtaining greater compensation than that to which the provider is legally entitled.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Submitting or causing to be submitted false information to meet service authorization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Inducing, furnishing or otherwise causing the child or family to receive foster care services that are not authorized (overutilization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Rebating or accepting a fee or portion of a fee or a charge for referrals of a child or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Failing to repay or arrange for the repayment of identified overpayments or other erroneous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Failing to submit the cost report on time or failing to submit complete responses to follow-up questions from the department or its fiscal consultant within 14 days of request without written approval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152.4(2)</w:t>
      </w:r>
      <w:r>
        <w:rPr>
          <w:rFonts w:ascii="Times New Roman" w:hAnsi="Times New Roman"/>
          <w:b w:val="false"/>
          <w:i w:val="false"/>
          <w:color w:val="000000"/>
          <w:sz w:val="22"/>
        </w:rPr>
        <w:t> </w:t>
      </w:r>
      <w:r>
        <w:rPr>
          <w:rFonts w:ascii="Times New Roman" w:hAnsi="Times New Roman"/>
          <w:b w:val="false"/>
          <w:i/>
          <w:color w:val="000000"/>
          <w:sz w:val="22"/>
        </w:rPr>
        <w:t xml:space="preserve">Notice of violation.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Should the department have information that indicates a provider may have done the following, the department will notify the provider of the discrepancies noted.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Submitted bills or been practicing in a manner inconsistent with the program requirements,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Received payment for which the provider may not be properly entitled.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Notification to the provider will set forth: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nature of the discrepancies or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known dollar value of the discrepancies or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method of computing the dollar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Further actions to be taken or sanctions to be imposed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actions required of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152.4(3)</w:t>
      </w:r>
      <w:r>
        <w:rPr>
          <w:rFonts w:ascii="Times New Roman" w:hAnsi="Times New Roman"/>
          <w:b w:val="false"/>
          <w:i w:val="false"/>
          <w:color w:val="000000"/>
          <w:sz w:val="22"/>
        </w:rPr>
        <w:t> </w:t>
      </w:r>
      <w:r>
        <w:rPr>
          <w:rFonts w:ascii="Times New Roman" w:hAnsi="Times New Roman"/>
          <w:b w:val="false"/>
          <w:i/>
          <w:color w:val="000000"/>
          <w:sz w:val="22"/>
        </w:rPr>
        <w:t xml:space="preserve">Sanctions. </w:t>
      </w:r>
      <w:r>
        <w:rPr>
          <w:rFonts w:ascii="Times New Roman" w:hAnsi="Times New Roman"/>
          <w:b w:val="false"/>
          <w:i w:val="false"/>
          <w:color w:val="000000"/>
          <w:sz w:val="22"/>
        </w:rPr>
        <w:t xml:space="preserve">The following sanctions may be imposed on providers based on the grounds specified in subrule </w:t>
      </w:r>
      <w:hyperlink r:id="rId17">
        <w:r>
          <w:rPr>
            <w:rStyle w:val="Hyperlink"/>
            <w:rFonts w:ascii="Times New Roman" w:hAnsi="Times New Roman"/>
            <w:b w:val="false"/>
            <w:i w:val="false"/>
            <w:color w:val="000000"/>
            <w:sz w:val="22"/>
          </w:rPr>
          <w:t>152.4(1)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term of probation for provision of foster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Termination from participation in the provision of foster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Suspension from provision of foster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Suspension or withholding of payments to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Review of 100 percent of the provider’s claims before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Referral to the appropriate state licensing board for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Referral of the matter to appropriate federal or state legal authorities for investigation and prosecution under applicable federal or state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Suspension of foster care services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Termination of foster care services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Reduction of payment to 75 percent of the current rate for failure to submit the cost report or cost report clarifications timely.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Termination of the provider’s contract for failure to submit the report within six months of the end of the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152.4(4)</w:t>
      </w:r>
      <w:r>
        <w:rPr>
          <w:rFonts w:ascii="Times New Roman" w:hAnsi="Times New Roman"/>
          <w:b w:val="false"/>
          <w:i w:val="false"/>
          <w:color w:val="000000"/>
          <w:sz w:val="22"/>
        </w:rPr>
        <w:t> </w:t>
      </w:r>
      <w:r>
        <w:rPr>
          <w:rFonts w:ascii="Times New Roman" w:hAnsi="Times New Roman"/>
          <w:b w:val="false"/>
          <w:i/>
          <w:color w:val="000000"/>
          <w:sz w:val="22"/>
        </w:rPr>
        <w:t xml:space="preserve">Imposition and extent of sanction. </w:t>
      </w:r>
      <w:r>
        <w:rPr>
          <w:rFonts w:ascii="Times New Roman" w:hAnsi="Times New Roman"/>
          <w:b w:val="false"/>
          <w:i w:val="false"/>
          <w:color w:val="000000"/>
          <w:sz w:val="22"/>
        </w:rPr>
        <w:t>The department will determine the sanction to impose. The following factors will be considered in determining the sanction or sanctions to be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Seriousness of the offense.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Extent of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History of prior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Prior imposition of sanctions.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Prior provision of technical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Pattern of failure to follow program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Whether a lesser sanction will be sufficient to remedy the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Actions taken or recommended by peer review groups or licensing bodies.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152.4(5)</w:t>
      </w:r>
      <w:r>
        <w:rPr>
          <w:rFonts w:ascii="Times New Roman" w:hAnsi="Times New Roman"/>
          <w:b w:val="false"/>
          <w:i w:val="false"/>
          <w:color w:val="000000"/>
          <w:sz w:val="22"/>
        </w:rPr>
        <w:t> </w:t>
      </w:r>
      <w:r>
        <w:rPr>
          <w:rFonts w:ascii="Times New Roman" w:hAnsi="Times New Roman"/>
          <w:b w:val="false"/>
          <w:i/>
          <w:color w:val="000000"/>
          <w:sz w:val="22"/>
        </w:rPr>
        <w:t xml:space="preserve">Scope of sanction.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sanction may be applied to all known affiliates of a provider. Each decision to include an affiliate will be made on a case-by-case basis after giving due regard to all relevant factors and circumstances. The violation, failure, or inadequacy of performance may be imputed to a person with whom the violator is affiliated when the conduct was committed in the course of official duty or was effectuated with the knowledge or approval of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there are grounds for sanction pursuant to subrule </w:t>
      </w:r>
      <w:hyperlink r:id="rId18">
        <w:r>
          <w:rPr>
            <w:rStyle w:val="Hyperlink"/>
            <w:rFonts w:ascii="Times New Roman" w:hAnsi="Times New Roman"/>
            <w:b w:val="false"/>
            <w:i w:val="false"/>
            <w:color w:val="000000"/>
            <w:sz w:val="22"/>
          </w:rPr>
          <w:t>152.4(1)</w:t>
        </w:r>
      </w:hyperlink>
      <w:r>
        <w:rPr>
          <w:rFonts w:ascii="Times New Roman" w:hAnsi="Times New Roman"/>
          <w:b w:val="false"/>
          <w:i w:val="false"/>
          <w:color w:val="000000"/>
          <w:sz w:val="22"/>
        </w:rPr>
        <w:t xml:space="preserve"> against a provider facility, campus, or site, the department may suspend or terminate the provision of foster care services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provider;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specific facility, campus, or site;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individual within the provider’s organization who is responsible for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provider shall submit claims for payments to the department for any services provided by any facility, campus, site, or person within the organization that has been suspended or terminated from provision of foster care services, except for those services provided before the suspension or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Suspension or termination from provision of foster care services shall preclude the submission of claims to the department for payment for any services provided after suspension or termination, whether submitted personally or through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152.4(6)</w:t>
      </w:r>
      <w:r>
        <w:rPr>
          <w:rFonts w:ascii="Times New Roman" w:hAnsi="Times New Roman"/>
          <w:b w:val="false"/>
          <w:i w:val="false"/>
          <w:color w:val="000000"/>
          <w:sz w:val="22"/>
        </w:rPr>
        <w:t> </w:t>
      </w:r>
      <w:r>
        <w:rPr>
          <w:rFonts w:ascii="Times New Roman" w:hAnsi="Times New Roman"/>
          <w:b w:val="false"/>
          <w:i/>
          <w:color w:val="000000"/>
          <w:sz w:val="22"/>
        </w:rPr>
        <w:t xml:space="preserve">Suspension or withholding of payments pending a final determination. </w:t>
      </w:r>
      <w:r>
        <w:rPr>
          <w:rFonts w:ascii="Times New Roman" w:hAnsi="Times New Roman"/>
          <w:b w:val="false"/>
          <w:i w:val="false"/>
          <w:color w:val="000000"/>
          <w:sz w:val="22"/>
        </w:rPr>
        <w:t>When the department has notified a provider of a violation and has demanded repayment of an identified overpayment, the department may withhold payments on pending and subsequently received claims in an amount reasonably calculated to approximate the amounts in question or may suspend payments pending a final determination. When the department intends to withhold or suspend payments, it will notify the provider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152.4(7)</w:t>
      </w:r>
      <w:r>
        <w:rPr>
          <w:rFonts w:ascii="Times New Roman" w:hAnsi="Times New Roman"/>
          <w:b w:val="false"/>
          <w:i w:val="false"/>
          <w:color w:val="000000"/>
          <w:sz w:val="22"/>
        </w:rPr>
        <w:t> </w:t>
      </w:r>
      <w:r>
        <w:rPr>
          <w:rFonts w:ascii="Times New Roman" w:hAnsi="Times New Roman"/>
          <w:b w:val="false"/>
          <w:i/>
          <w:color w:val="000000"/>
          <w:sz w:val="22"/>
        </w:rPr>
        <w:t xml:space="preserve">Notice of sanction. </w:t>
      </w:r>
      <w:r>
        <w:rPr>
          <w:rFonts w:ascii="Times New Roman" w:hAnsi="Times New Roman"/>
          <w:b w:val="false"/>
          <w:i w:val="false"/>
          <w:color w:val="000000"/>
          <w:sz w:val="22"/>
        </w:rPr>
        <w:t>When a provider has been sanctioned, the department will notify, as appropriate, the applicable professional society, board of registration or licensure, and federal or state agencies of the findings made and the sanctions imposed.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0670D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441—152.5</w:t>
      </w:r>
      <w:r>
        <w:rPr>
          <w:rFonts w:ascii="Times New Roman" w:hAnsi="Times New Roman"/>
          <w:b/>
          <w:i w:val="false"/>
          <w:color w:val="000000"/>
          <w:sz w:val="22"/>
        </w:rPr>
        <w:t xml:space="preserve">(234) </w:t>
      </w:r>
      <w:r>
        <w:rPr>
          <w:rFonts w:ascii="Times New Roman" w:hAnsi="Times New Roman"/>
          <w:b/>
          <w:i w:val="false"/>
          <w:color w:val="000000"/>
          <w:sz w:val="22"/>
        </w:rPr>
        <w:t xml:space="preserve">Adverse actions. </w:t>
      </w:r>
      <w:r>
        <w:rPr>
          <w:rFonts w:ascii="Times New Roman" w:hAnsi="Times New Roman"/>
          <w:b w:val="false"/>
          <w:i w:val="false"/>
          <w:color w:val="000000"/>
          <w:sz w:val="22"/>
        </w:rPr>
        <w:t xml:space="preserve">Notice of adverse actions shall be given in accordance with </w:t>
      </w:r>
      <w:hyperlink r:id="rId19">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xml:space="preserve">. The right to appeal the licensing decision shall be given in accordance with </w:t>
      </w:r>
      <w:hyperlink r:id="rId20">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0670D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21">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8/12/93—published 9/1/93, effective 8/12/93]</w:t>
      </w:r>
    </w:p>
    <w:p>
      <w:pPr>
        <w:spacing w:before="0" w:after="0"/>
        <w:ind w:left="120"/>
        <w:jc w:val="center"/>
      </w:pPr>
      <w:r>
        <w:rPr>
          <w:rFonts w:ascii="Times New Roman" w:hAnsi="Times New Roman"/>
          <w:b w:val="false"/>
          <w:i w:val="false"/>
          <w:color w:val="000000"/>
          <w:sz w:val="21"/>
        </w:rPr>
        <w:t>[Filed 12/16/93, Notice 9/1/93—published 1/5/94, effective 3/1/94]</w:t>
      </w:r>
    </w:p>
    <w:p>
      <w:pPr>
        <w:spacing w:before="0" w:after="0"/>
        <w:ind w:left="120"/>
        <w:jc w:val="center"/>
      </w:pPr>
      <w:r>
        <w:rPr>
          <w:rFonts w:ascii="Times New Roman" w:hAnsi="Times New Roman"/>
          <w:b w:val="false"/>
          <w:i w:val="false"/>
          <w:color w:val="000000"/>
          <w:sz w:val="21"/>
        </w:rPr>
        <w:t>[Filed 2/16/95, Notice 12/21/94—published 3/15/95, effective 5/1/95]</w:t>
      </w:r>
    </w:p>
    <w:p>
      <w:pPr>
        <w:spacing w:before="0" w:after="0"/>
        <w:ind w:left="120"/>
        <w:jc w:val="center"/>
      </w:pPr>
      <w:r>
        <w:rPr>
          <w:rFonts w:ascii="Times New Roman" w:hAnsi="Times New Roman"/>
          <w:b w:val="false"/>
          <w:i w:val="false"/>
          <w:color w:val="000000"/>
          <w:sz w:val="21"/>
        </w:rPr>
        <w:t>[Filed emergency 6/13/96—published 7/3/96, effective 7/1/96]</w:t>
      </w:r>
    </w:p>
    <w:p>
      <w:pPr>
        <w:spacing w:before="0" w:after="0"/>
        <w:ind w:left="120"/>
        <w:jc w:val="center"/>
      </w:pPr>
      <w:r>
        <w:rPr>
          <w:rFonts w:ascii="Times New Roman" w:hAnsi="Times New Roman"/>
          <w:b w:val="false"/>
          <w:i w:val="false"/>
          <w:color w:val="000000"/>
          <w:sz w:val="21"/>
        </w:rPr>
        <w:t>[Filed 8/15/96, Notice 7/3/96—published 9/11/96, effective 11/1/96]</w:t>
      </w:r>
    </w:p>
    <w:p>
      <w:pPr>
        <w:spacing w:before="0" w:after="0"/>
        <w:ind w:left="120"/>
        <w:jc w:val="center"/>
      </w:pPr>
      <w:r>
        <w:rPr>
          <w:rFonts w:ascii="Times New Roman" w:hAnsi="Times New Roman"/>
          <w:b w:val="false"/>
          <w:i w:val="false"/>
          <w:color w:val="000000"/>
          <w:sz w:val="21"/>
        </w:rPr>
        <w:t>[Filed 10/15/97, Notices 7/30/97, 8/13/97—published 11/5/97, effective 1/1/98]</w:t>
      </w:r>
    </w:p>
    <w:p>
      <w:pPr>
        <w:spacing w:before="0" w:after="0"/>
        <w:ind w:left="120"/>
        <w:jc w:val="center"/>
      </w:pPr>
      <w:r>
        <w:rPr>
          <w:rFonts w:ascii="Times New Roman" w:hAnsi="Times New Roman"/>
          <w:b w:val="false"/>
          <w:i w:val="false"/>
          <w:color w:val="000000"/>
          <w:sz w:val="21"/>
        </w:rPr>
        <w:t>[Filed without Notice 6/10/98—published 7/1/98, effective 8/15/98]</w:t>
      </w:r>
    </w:p>
    <w:p>
      <w:pPr>
        <w:spacing w:before="0" w:after="0"/>
        <w:ind w:left="120"/>
        <w:jc w:val="center"/>
      </w:pPr>
      <w:r>
        <w:rPr>
          <w:rFonts w:ascii="Times New Roman" w:hAnsi="Times New Roman"/>
          <w:b w:val="false"/>
          <w:i w:val="false"/>
          <w:color w:val="000000"/>
          <w:sz w:val="21"/>
        </w:rPr>
        <w:t>[Filed 8/12/98, Notice 7/1/98—published 9/9/98, effective 11/1/98]</w:t>
      </w:r>
    </w:p>
    <w:p>
      <w:pPr>
        <w:spacing w:before="0" w:after="0"/>
        <w:ind w:left="120"/>
        <w:jc w:val="center"/>
      </w:pPr>
      <w:r>
        <w:rPr>
          <w:rFonts w:ascii="Times New Roman" w:hAnsi="Times New Roman"/>
          <w:b w:val="false"/>
          <w:i w:val="false"/>
          <w:color w:val="000000"/>
          <w:sz w:val="21"/>
        </w:rPr>
        <w:t>[Filed 3/8/00, Notice 1/26/00—published 4/5/00, effective 6/1/00]</w:t>
      </w:r>
    </w:p>
    <w:p>
      <w:pPr>
        <w:spacing w:before="0" w:after="0"/>
        <w:ind w:left="120"/>
        <w:jc w:val="center"/>
      </w:pPr>
      <w:r>
        <w:rPr>
          <w:rFonts w:ascii="Times New Roman" w:hAnsi="Times New Roman"/>
          <w:b w:val="false"/>
          <w:i w:val="false"/>
          <w:color w:val="000000"/>
          <w:sz w:val="21"/>
        </w:rPr>
        <w:t>[Filed 11/14/01, Notice 10/3/01—published 12/12/01, effective 2/1/02]</w:t>
      </w:r>
    </w:p>
    <w:p>
      <w:pPr>
        <w:spacing w:before="0" w:after="0"/>
        <w:ind w:left="120"/>
        <w:jc w:val="center"/>
      </w:pPr>
      <w:r>
        <w:rPr>
          <w:rFonts w:ascii="Times New Roman" w:hAnsi="Times New Roman"/>
          <w:b w:val="false"/>
          <w:i w:val="false"/>
          <w:color w:val="000000"/>
          <w:sz w:val="21"/>
        </w:rPr>
        <w:t>[Filed emergency 4/15/05—published 5/11/05, effective 5/1/05]</w:t>
      </w:r>
    </w:p>
    <w:p>
      <w:pPr>
        <w:spacing w:before="0" w:after="0"/>
        <w:ind w:left="120"/>
        <w:jc w:val="center"/>
      </w:pPr>
      <w:r>
        <w:rPr>
          <w:rFonts w:ascii="Times New Roman" w:hAnsi="Times New Roman"/>
          <w:b w:val="false"/>
          <w:i w:val="false"/>
          <w:color w:val="000000"/>
          <w:sz w:val="21"/>
        </w:rPr>
        <w:t>[Filed 10/21/05, Notice 5/11/05—published 11/9/05, effective 12/14/05]</w:t>
      </w:r>
    </w:p>
    <w:p>
      <w:pPr>
        <w:spacing w:before="0" w:after="0"/>
        <w:ind w:left="120"/>
        <w:jc w:val="center"/>
      </w:pPr>
      <w:r>
        <w:rPr>
          <w:rFonts w:ascii="Times New Roman" w:hAnsi="Times New Roman"/>
          <w:b w:val="false"/>
          <w:i w:val="false"/>
          <w:color w:val="000000"/>
          <w:sz w:val="21"/>
        </w:rPr>
        <w:t>[Filed 3/14/07, Notice 8/30/06—published 4/11/07, effective 7/1/07]</w:t>
      </w:r>
    </w:p>
    <w:p>
      <w:pPr>
        <w:spacing w:before="0" w:after="0"/>
        <w:ind w:left="120"/>
        <w:jc w:val="center"/>
      </w:pPr>
      <w:r>
        <w:rPr>
          <w:rFonts w:ascii="Times New Roman" w:hAnsi="Times New Roman"/>
          <w:b w:val="false"/>
          <w:i w:val="false"/>
          <w:color w:val="000000"/>
          <w:sz w:val="21"/>
        </w:rPr>
        <w:t>[Filed ARC 7741B</w:t>
      </w:r>
      <w:r>
        <w:rPr>
          <w:rFonts w:ascii="Times New Roman" w:hAnsi="Times New Roman"/>
          <w:b w:val="false"/>
          <w:i w:val="false"/>
          <w:color w:val="000000"/>
          <w:sz w:val="21"/>
        </w:rPr>
        <w:t xml:space="preserve"> (Notice ARC 7526B, IAB 1/28/09)</w:t>
      </w:r>
      <w:r>
        <w:rPr>
          <w:rFonts w:ascii="Times New Roman" w:hAnsi="Times New Roman"/>
          <w:b w:val="false"/>
          <w:i w:val="false"/>
          <w:color w:val="000000"/>
          <w:sz w:val="21"/>
        </w:rPr>
        <w:t>, IAB 5/6/09, effective 7/1/09]</w:t>
      </w:r>
    </w:p>
    <w:p>
      <w:pPr>
        <w:spacing w:before="0" w:after="0"/>
        <w:ind w:left="120"/>
        <w:jc w:val="center"/>
      </w:pPr>
      <w:r>
        <w:rPr>
          <w:rFonts w:ascii="Times New Roman" w:hAnsi="Times New Roman"/>
          <w:b w:val="false"/>
          <w:i w:val="false"/>
          <w:color w:val="000000"/>
          <w:sz w:val="21"/>
        </w:rPr>
        <w:t>[Filed Emergency ARC 8449B, IAB 1/13/10, effective 1/1/10]</w:t>
      </w:r>
    </w:p>
    <w:p>
      <w:pPr>
        <w:spacing w:before="0" w:after="0"/>
        <w:ind w:left="120"/>
        <w:jc w:val="center"/>
      </w:pPr>
      <w:r>
        <w:rPr>
          <w:rFonts w:ascii="Times New Roman" w:hAnsi="Times New Roman"/>
          <w:b w:val="false"/>
          <w:i w:val="false"/>
          <w:color w:val="000000"/>
          <w:sz w:val="21"/>
        </w:rPr>
        <w:t>[Filed ARC 8652B</w:t>
      </w:r>
      <w:r>
        <w:rPr>
          <w:rFonts w:ascii="Times New Roman" w:hAnsi="Times New Roman"/>
          <w:b w:val="false"/>
          <w:i w:val="false"/>
          <w:color w:val="000000"/>
          <w:sz w:val="21"/>
        </w:rPr>
        <w:t xml:space="preserve"> (Notice ARC 8450B, IAB 1/13/10)</w:t>
      </w:r>
      <w:r>
        <w:rPr>
          <w:rFonts w:ascii="Times New Roman" w:hAnsi="Times New Roman"/>
          <w:b w:val="false"/>
          <w:i w:val="false"/>
          <w:color w:val="000000"/>
          <w:sz w:val="21"/>
        </w:rPr>
        <w:t>, IAB 4/7/10, effective 5/12/10]</w:t>
      </w:r>
    </w:p>
    <w:p>
      <w:pPr>
        <w:spacing w:before="0" w:after="0"/>
        <w:ind w:left="120"/>
        <w:jc w:val="center"/>
      </w:pPr>
      <w:r>
        <w:rPr>
          <w:rFonts w:ascii="Times New Roman" w:hAnsi="Times New Roman"/>
          <w:b w:val="false"/>
          <w:i w:val="false"/>
          <w:color w:val="000000"/>
          <w:sz w:val="21"/>
        </w:rPr>
        <w:t>[Filed Emergency ARC 8903B, IAB 6/30/10, effective 7/1/10]</w:t>
      </w:r>
    </w:p>
    <w:p>
      <w:pPr>
        <w:spacing w:before="0" w:after="0"/>
        <w:ind w:left="120"/>
        <w:jc w:val="center"/>
      </w:pPr>
      <w:r>
        <w:rPr>
          <w:rFonts w:ascii="Times New Roman" w:hAnsi="Times New Roman"/>
          <w:b w:val="false"/>
          <w:i w:val="false"/>
          <w:color w:val="000000"/>
          <w:sz w:val="21"/>
        </w:rPr>
        <w:t>[Filed ARC 2885C</w:t>
      </w:r>
      <w:r>
        <w:rPr>
          <w:rFonts w:ascii="Times New Roman" w:hAnsi="Times New Roman"/>
          <w:b w:val="false"/>
          <w:i w:val="false"/>
          <w:color w:val="000000"/>
          <w:sz w:val="21"/>
        </w:rPr>
        <w:t xml:space="preserve"> (Notice ARC 2771C, IAB 10/12/16)</w:t>
      </w:r>
      <w:r>
        <w:rPr>
          <w:rFonts w:ascii="Times New Roman" w:hAnsi="Times New Roman"/>
          <w:b w:val="false"/>
          <w:i w:val="false"/>
          <w:color w:val="000000"/>
          <w:sz w:val="21"/>
        </w:rPr>
        <w:t>, IAB 1/4/17, effective 3/1/17]</w:t>
      </w:r>
    </w:p>
    <w:p>
      <w:pPr>
        <w:spacing w:before="0" w:after="0"/>
        <w:ind w:left="120"/>
        <w:jc w:val="center"/>
      </w:pPr>
      <w:r>
        <w:rPr>
          <w:rFonts w:ascii="Times New Roman" w:hAnsi="Times New Roman"/>
          <w:b w:val="false"/>
          <w:i w:val="false"/>
          <w:color w:val="000000"/>
          <w:sz w:val="21"/>
        </w:rPr>
        <w:t>[Filed ARC 3442C</w:t>
      </w:r>
      <w:r>
        <w:rPr>
          <w:rFonts w:ascii="Times New Roman" w:hAnsi="Times New Roman"/>
          <w:b w:val="false"/>
          <w:i w:val="false"/>
          <w:color w:val="000000"/>
          <w:sz w:val="21"/>
        </w:rPr>
        <w:t xml:space="preserve"> (Notice ARC 3260C, IAB 8/16/17)</w:t>
      </w:r>
      <w:r>
        <w:rPr>
          <w:rFonts w:ascii="Times New Roman" w:hAnsi="Times New Roman"/>
          <w:b w:val="false"/>
          <w:i w:val="false"/>
          <w:color w:val="000000"/>
          <w:sz w:val="21"/>
        </w:rPr>
        <w:t>, IAB 11/8/17, effective 1/1/18]</w:t>
      </w:r>
    </w:p>
    <w:p>
      <w:pPr>
        <w:spacing w:before="0" w:after="0"/>
        <w:ind w:left="120"/>
        <w:jc w:val="center"/>
      </w:pPr>
      <w:r>
        <w:rPr>
          <w:rFonts w:ascii="Times New Roman" w:hAnsi="Times New Roman"/>
          <w:b w:val="false"/>
          <w:i w:val="false"/>
          <w:color w:val="000000"/>
          <w:sz w:val="21"/>
        </w:rPr>
        <w:t>[Filed ARC 6857C</w:t>
      </w:r>
      <w:r>
        <w:rPr>
          <w:rFonts w:ascii="Times New Roman" w:hAnsi="Times New Roman"/>
          <w:b w:val="false"/>
          <w:i w:val="false"/>
          <w:color w:val="000000"/>
          <w:sz w:val="21"/>
        </w:rPr>
        <w:t xml:space="preserve"> (Notice ARC 6693C, IAB 11/30/22)</w:t>
      </w:r>
      <w:r>
        <w:rPr>
          <w:rFonts w:ascii="Times New Roman" w:hAnsi="Times New Roman"/>
          <w:b w:val="false"/>
          <w:i w:val="false"/>
          <w:color w:val="000000"/>
          <w:sz w:val="21"/>
        </w:rPr>
        <w:t>, IAB 2/8/23, effective 4/1/23]</w:t>
      </w:r>
    </w:p>
    <w:p>
      <w:pPr>
        <w:spacing w:before="0" w:after="0"/>
        <w:ind w:left="120"/>
        <w:jc w:val="center"/>
      </w:pPr>
      <w:r>
        <w:rPr>
          <w:rFonts w:ascii="Times New Roman" w:hAnsi="Times New Roman"/>
          <w:b w:val="false"/>
          <w:i w:val="false"/>
          <w:color w:val="000000"/>
          <w:sz w:val="21"/>
        </w:rPr>
        <w:t>[Editorial change: IAC Supplement 6/10/26]</w:t>
      </w:r>
    </w:p>
    <w:p>
      <w:pPr>
        <w:spacing w:before="0" w:after="0"/>
        <w:ind w:left="120"/>
        <w:jc w:val="center"/>
      </w:pPr>
      <w:r>
        <w:rPr>
          <w:rFonts w:ascii="Times New Roman" w:hAnsi="Times New Roman"/>
          <w:b w:val="false"/>
          <w:i w:val="false"/>
          <w:color w:val="000000"/>
          <w:sz w:val="21"/>
        </w:rPr>
        <w:t>[Filed ARC 0670D</w:t>
      </w:r>
      <w:r>
        <w:rPr>
          <w:rFonts w:ascii="Times New Roman" w:hAnsi="Times New Roman"/>
          <w:b w:val="false"/>
          <w:i w:val="false"/>
          <w:color w:val="000000"/>
          <w:sz w:val="21"/>
        </w:rPr>
        <w:t xml:space="preserve"> (Notice ARC 0480D, IAB 8/19/26)</w:t>
      </w:r>
      <w:r>
        <w:rPr>
          <w:rFonts w:ascii="Times New Roman" w:hAnsi="Times New Roman"/>
          <w:b w:val="false"/>
          <w:i w:val="false"/>
          <w:color w:val="000000"/>
          <w:sz w:val="21"/>
        </w:rPr>
        <w:t>, IAB 10/14/26, effective 12/1/26]</w:t>
      </w:r>
    </w:p>
    <w:sectPr>
      <w:footerReference r:id="rId2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4.1.pdf" Type="http://schemas.openxmlformats.org/officeDocument/2006/relationships/hyperlink" Id="rId5"/>
    <Relationship TargetMode="External" Target="https://www.legis.iowa.gov/docs/ico/chapter/602.pdf" Type="http://schemas.openxmlformats.org/officeDocument/2006/relationships/hyperlink" Id="rId6"/>
    <Relationship TargetMode="External" Target="https://www.legis.iowa.gov/docs/iac/rule/441.152.2.pdf" Type="http://schemas.openxmlformats.org/officeDocument/2006/relationships/hyperlink" Id="rId7"/>
    <Relationship TargetMode="External" Target="https://www.legis.iowa.gov/docs/iac/chapter/441.105.pdf" Type="http://schemas.openxmlformats.org/officeDocument/2006/relationships/hyperlink" Id="rId8"/>
    <Relationship TargetMode="External" Target="https://www.legis.iowa.gov/docs/iac/chapter/441.108.pdf" Type="http://schemas.openxmlformats.org/officeDocument/2006/relationships/hyperlink" Id="rId9"/>
    <Relationship TargetMode="External" Target="https://www.legis.iowa.gov/docs/iac/chapter/441.114.pdf" Type="http://schemas.openxmlformats.org/officeDocument/2006/relationships/hyperlink" Id="rId10"/>
    <Relationship TargetMode="External" Target="https://www.legis.iowa.gov/docs/iac/rule/441.114.11.pdf" Type="http://schemas.openxmlformats.org/officeDocument/2006/relationships/hyperlink" Id="rId11"/>
    <Relationship TargetMode="External" Target="https://www.legis.iowa.gov/docs/iac/chapter/441.105.pdf" Type="http://schemas.openxmlformats.org/officeDocument/2006/relationships/hyperlink" Id="rId12"/>
    <Relationship TargetMode="External" Target="https://www.legis.iowa.gov/docs/iac/chapter/441.156.pdf" Type="http://schemas.openxmlformats.org/officeDocument/2006/relationships/hyperlink" Id="rId13"/>
    <Relationship TargetMode="External" Target="https://www.legis.iowa.gov/docs/iac/rule/441.152.2.pdf" Type="http://schemas.openxmlformats.org/officeDocument/2006/relationships/hyperlink" Id="rId14"/>
    <Relationship TargetMode="External" Target="https://www.legis.iowa.gov/docs/iac/chapter/441.2505.pdf" Type="http://schemas.openxmlformats.org/officeDocument/2006/relationships/hyperlink" Id="rId15"/>
    <Relationship TargetMode="External" Target="https://www.legis.iowa.gov/docs/iac/rule/441.152.4.pdf" Type="http://schemas.openxmlformats.org/officeDocument/2006/relationships/hyperlink" Id="rId16"/>
    <Relationship TargetMode="External" Target="https://www.legis.iowa.gov/docs/iac/rule/441.152.4.pdf" Type="http://schemas.openxmlformats.org/officeDocument/2006/relationships/hyperlink" Id="rId17"/>
    <Relationship TargetMode="External" Target="https://www.legis.iowa.gov/docs/iac/rule/441.152.4.pdf" Type="http://schemas.openxmlformats.org/officeDocument/2006/relationships/hyperlink" Id="rId18"/>
    <Relationship TargetMode="External" Target="https://www.legis.iowa.gov/docs/iac/chapter/441.16.pdf" Type="http://schemas.openxmlformats.org/officeDocument/2006/relationships/hyperlink" Id="rId19"/>
    <Relationship TargetMode="External" Target="https://www.legis.iowa.gov/docs/iac/chapter/441.2506.pdf" Type="http://schemas.openxmlformats.org/officeDocument/2006/relationships/hyperlink" Id="rId20"/>
    <Relationship TargetMode="External" Target="https://www.legis.iowa.gov/docs/ico/chapter/234.6.pdf" Type="http://schemas.openxmlformats.org/officeDocument/2006/relationships/hyperlink" Id="rId21"/>
    <Relationship Target="footer.xml" Type="http://schemas.openxmlformats.org/officeDocument/2006/relationships/footer"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