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142</w:t>
      </w:r>
    </w:p>
    <w:p>
      <w:pPr>
        <w:spacing w:before="0" w:after="0"/>
        <w:ind w:left="120"/>
        <w:jc w:val="center"/>
      </w:pPr>
      <w:r>
        <w:rPr>
          <w:rFonts w:ascii="Times New Roman" w:hAnsi="Times New Roman"/>
          <w:b w:val="false"/>
          <w:i w:val="false"/>
          <w:color w:val="000000"/>
          <w:sz w:val="21"/>
        </w:rPr>
        <w:t>INTERSTATE COMPACT ON THE PLACEMENT OF CHILDREN</w:t>
      </w:r>
    </w:p>
    <w:p>
      <w:pPr>
        <w:spacing w:before="0" w:after="0"/>
        <w:ind w:left="120"/>
        <w:jc w:val="center"/>
      </w:pPr>
      <w:r>
        <w:rPr>
          <w:rFonts w:ascii="Times New Roman" w:hAnsi="Times New Roman"/>
          <w:b w:val="false"/>
          <w:i w:val="false"/>
          <w:color w:val="000000"/>
          <w:sz w:val="20"/>
        </w:rPr>
        <w:t>[Prior to 7/1/83, Social Services[770] Ch 142]</w:t>
      </w:r>
    </w:p>
    <w:p>
      <w:pPr>
        <w:spacing w:before="0" w:after="0"/>
        <w:ind w:left="120"/>
        <w:jc w:val="center"/>
      </w:pPr>
      <w:r>
        <w:rPr>
          <w:rFonts w:ascii="Times New Roman" w:hAnsi="Times New Roman"/>
          <w:b w:val="false"/>
          <w:i w:val="false"/>
          <w:color w:val="000000"/>
          <w:sz w:val="20"/>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9/1/31</w:t>
      </w:r>
    </w:p>
    <w:p>
      <w:pPr>
        <w:spacing w:before="0" w:after="0"/>
        <w:ind w:left="120"/>
        <w:jc w:val="both"/>
      </w:pPr>
      <w:r>
        <w:rPr>
          <w:rFonts w:ascii="Times New Roman" w:hAnsi="Times New Roman"/>
          <w:b/>
          <w:i w:val="false"/>
          <w:color w:val="000000"/>
          <w:sz w:val="22"/>
        </w:rPr>
        <w:t>441—142.1</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agreement. </w:t>
      </w:r>
      <w:r>
        <w:rPr>
          <w:rFonts w:ascii="Times New Roman" w:hAnsi="Times New Roman"/>
          <w:b w:val="false"/>
          <w:i w:val="false"/>
          <w:color w:val="000000"/>
          <w:sz w:val="22"/>
        </w:rPr>
        <w:t>As a member of the interstate compact on the placement of children, the department will cooperate on interstate aspects of placements preliminary to possible adoptions, placements in foster care where no adoption is contemplated, placements with any parent or relative, and institutional placements of adjudicated children in need of assistance needing special services or programs not available within the state. Any public or private agency instrumental in placement of a child in Iowa or from Iowa and in such public or private agency’s custody will go through the interstate compact on placement of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441—142.2</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may appoint up to three deputy compact administrators to serve as active members of the association of administrators of the interstate compact on the placement of children and who shall be responsible for day-to-day operation of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shall be responsible for the administration of the compact between the compact administrator’s state and other contracting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441—142.3</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III(a)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142.3(1)</w:t>
      </w:r>
      <w:r>
        <w:rPr>
          <w:rFonts w:ascii="Times New Roman" w:hAnsi="Times New Roman"/>
          <w:b w:val="false"/>
          <w:i w:val="false"/>
          <w:color w:val="000000"/>
          <w:sz w:val="22"/>
        </w:rPr>
        <w:t> </w:t>
      </w:r>
      <w:r>
        <w:rPr>
          <w:rFonts w:ascii="Times New Roman" w:hAnsi="Times New Roman"/>
          <w:b w:val="false"/>
          <w:i w:val="false"/>
          <w:color w:val="000000"/>
          <w:sz w:val="22"/>
        </w:rPr>
        <w:t>All intended placements in Iowa or from Iowa coming under the purview of this compact shall be referred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142.3(2)</w:t>
      </w:r>
      <w:r>
        <w:rPr>
          <w:rFonts w:ascii="Times New Roman" w:hAnsi="Times New Roman"/>
          <w:b w:val="false"/>
          <w:i w:val="false"/>
          <w:color w:val="000000"/>
          <w:sz w:val="22"/>
        </w:rPr>
        <w:t> </w:t>
      </w:r>
      <w:r>
        <w:rPr>
          <w:rFonts w:ascii="Times New Roman" w:hAnsi="Times New Roman"/>
          <w:b w:val="false"/>
          <w:i w:val="false"/>
          <w:color w:val="000000"/>
          <w:sz w:val="22"/>
        </w:rPr>
        <w:t>All persons involved in the placement of a child into Iowa or from Iowa into another state shall meet all the placement requirements of the receiving state prior to the actual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142.3(3)</w:t>
      </w:r>
      <w:r>
        <w:rPr>
          <w:rFonts w:ascii="Times New Roman" w:hAnsi="Times New Roman"/>
          <w:b w:val="false"/>
          <w:i w:val="false"/>
          <w:color w:val="000000"/>
          <w:sz w:val="22"/>
        </w:rPr>
        <w:t> </w:t>
      </w:r>
      <w:r>
        <w:rPr>
          <w:rFonts w:ascii="Times New Roman" w:hAnsi="Times New Roman"/>
          <w:b w:val="false"/>
          <w:i w:val="false"/>
          <w:color w:val="000000"/>
          <w:sz w:val="22"/>
        </w:rPr>
        <w:t>Supervision of placements made by persons or agencies outside of Iowa shall be provided by a licensed Iowa agency, the department, or an Iowa-certified adoption investigator. Exempted from this provision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agency licensed as a child-placing agency in another state that has its principal place of business in a county directly adjacent to an Iowa border may practice in the Iowa counties contiguous to the out-of-state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in a facility for treatment that is licensed by the department unless the department specifies that the supervision must be provided by the department for all placements in any particular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441—142.4</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III(c). </w:t>
      </w:r>
      <w:r>
        <w:rPr>
          <w:rFonts w:ascii="Times New Roman" w:hAnsi="Times New Roman"/>
          <w:b w:val="false"/>
          <w:i w:val="false"/>
          <w:color w:val="000000"/>
          <w:sz w:val="22"/>
        </w:rPr>
        <w:t>A child may be placed in Iowa preliminary to adoption only when there has been a preplacement investigation by an authorized person or agency in Iowa, such investigation has been made available to the department, the investigation has been made within the past year, and the sending state intending to place the child has been notified that the home has been approved for an adoptive placement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441—142.5</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V(c). </w:t>
      </w:r>
      <w:r>
        <w:rPr>
          <w:rFonts w:ascii="Times New Roman" w:hAnsi="Times New Roman"/>
          <w:b w:val="false"/>
          <w:i w:val="false"/>
          <w:color w:val="000000"/>
          <w:sz w:val="22"/>
        </w:rPr>
        <w:t>For the purposes of article V(c), “sending state” means “sending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441—142.6</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VIII(a). </w:t>
      </w:r>
      <w:r>
        <w:rPr>
          <w:rFonts w:ascii="Times New Roman" w:hAnsi="Times New Roman"/>
          <w:b w:val="false"/>
          <w:i w:val="false"/>
          <w:color w:val="000000"/>
          <w:sz w:val="22"/>
        </w:rPr>
        <w:t>For the purpose of article VIII(a), “relative” means stepparent, grandparent, adult brother or sister, or adult uncle or aunt, and “guardian” means any guardian other than that appointed as preliminary to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441—142.7</w:t>
      </w:r>
      <w:r>
        <w:rPr>
          <w:rFonts w:ascii="Times New Roman" w:hAnsi="Times New Roman"/>
          <w:b/>
          <w:i w:val="false"/>
          <w:color w:val="000000"/>
          <w:sz w:val="22"/>
        </w:rPr>
        <w:t xml:space="preserve">(232)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requirements of this compact shall be in effect for all placements into Iowa from any state, territory or possession of the United States, the District of Columbia, the Commonwealth of Puerto Rico and, with the consent of Congress, the government of Canada and any province thereof, or from Iowa to any state, territory or possession of the United States, the District of Columbia, the Commonwealth of Puerto Rico and, with the consent of Congress, the government of Canada and any province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441—142.8</w:t>
      </w:r>
      <w:r>
        <w:rPr>
          <w:rFonts w:ascii="Times New Roman" w:hAnsi="Times New Roman"/>
          <w:b/>
          <w:i w:val="false"/>
          <w:color w:val="000000"/>
          <w:sz w:val="22"/>
        </w:rPr>
        <w:t xml:space="preserve">(232) </w:t>
      </w:r>
      <w:r>
        <w:rPr>
          <w:rFonts w:ascii="Times New Roman" w:hAnsi="Times New Roman"/>
          <w:b/>
          <w:i w:val="false"/>
          <w:color w:val="000000"/>
          <w:sz w:val="22"/>
        </w:rPr>
        <w:t xml:space="preserve">NEICE database.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Electronic Interstate Compact Enterprise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“NEICE system”</w:t>
      </w:r>
      <w:r>
        <w:rPr>
          <w:rFonts w:ascii="Times New Roman" w:hAnsi="Times New Roman"/>
          <w:b w:val="false"/>
          <w:i w:val="false"/>
          <w:color w:val="000000"/>
          <w:sz w:val="22"/>
        </w:rPr>
        <w:t> </w:t>
      </w:r>
      <w:r>
        <w:rPr>
          <w:rFonts w:ascii="Times New Roman" w:hAnsi="Times New Roman"/>
          <w:b w:val="false"/>
          <w:i w:val="false"/>
          <w:color w:val="000000"/>
          <w:sz w:val="22"/>
        </w:rPr>
        <w:t>means the national electronic web-based system for administration of the interstate compact on the placement of children made available to states by the American Public Human Services Association through its affiliate, the Association of Administrators of the Interstate Compact on the Placement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“Security requirements”</w:t>
      </w:r>
      <w:r>
        <w:rPr>
          <w:rFonts w:ascii="Times New Roman" w:hAnsi="Times New Roman"/>
          <w:b w:val="false"/>
          <w:i w:val="false"/>
          <w:color w:val="000000"/>
          <w:sz w:val="22"/>
        </w:rPr>
        <w:t> </w:t>
      </w:r>
      <w:r>
        <w:rPr>
          <w:rFonts w:ascii="Times New Roman" w:hAnsi="Times New Roman"/>
          <w:b w:val="false"/>
          <w:i w:val="false"/>
          <w:color w:val="000000"/>
          <w:sz w:val="22"/>
        </w:rPr>
        <w:t>means all policies or system security guidance established by the department and the department of management related to the use of external computer systems for the storage of personally identifiable data elements of applicants for and recipients of department services. Security requirements as defined herein include but are not necessarily limited to completion by the vendor of the then-current cybersecurity framework made available by the National Institute of Standards and Technology, department confirmation that the system has passed the cybersecurity framework analysis, completion by the vendor of an information security risk assessment acceptable to the department, performance by the vendor of a system penetration test acceptable to the department, and an application scan for vulnerabilities, as well as remediation of any vulnerabilities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142.8(2)</w:t>
      </w:r>
      <w:r>
        <w:rPr>
          <w:rFonts w:ascii="Times New Roman" w:hAnsi="Times New Roman"/>
          <w:b w:val="false"/>
          <w:i w:val="false"/>
          <w:color w:val="000000"/>
          <w:sz w:val="22"/>
        </w:rPr>
        <w:t> </w:t>
      </w:r>
      <w:r>
        <w:rPr>
          <w:rFonts w:ascii="Times New Roman" w:hAnsi="Times New Roman"/>
          <w:b w:val="false"/>
          <w:i/>
          <w:color w:val="000000"/>
          <w:sz w:val="22"/>
        </w:rPr>
        <w:t xml:space="preserve">Department obligation to provide data to the NEICE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all times that the NEICE system meets security requirements, the department will place in the system all data elements and information that the system is configured to accept concerning children subject to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placing personally identifiable data elements in the NEICE system, the department will confirm that the NEICE system complies with all security requirements. If at any time after placement of personally identifiable data in the NEICE system the department determines that the NEICE system fails to meet all security requirements or that personally identifiable data placed in the system by the department has been used or disclosed inappropriately, the department may cease using the NEICE system and may demand that all data provided by the department be removed from the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232.158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9/6/79, Notice 6/27/79—published 10/3/79, effective 11/7/79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ARC 3186C</w:t>
      </w:r>
      <w:r>
        <w:rPr>
          <w:rFonts w:ascii="Times New Roman" w:hAnsi="Times New Roman"/>
          <w:b w:val="false"/>
          <w:i w:val="false"/>
          <w:color w:val="000000"/>
          <w:sz w:val="21"/>
        </w:rPr>
        <w:t xml:space="preserve"> (Notice ARC 3020C, IAB 4/12/17)</w:t>
      </w:r>
      <w:r>
        <w:rPr>
          <w:rFonts w:ascii="Times New Roman" w:hAnsi="Times New Roman"/>
          <w:b w:val="false"/>
          <w:i w:val="false"/>
          <w:color w:val="000000"/>
          <w:sz w:val="21"/>
        </w:rPr>
        <w:t>, IAB 7/5/17, effective 8/15/17]</w:t>
      </w:r>
    </w:p>
    <w:p>
      <w:pPr>
        <w:spacing w:before="0" w:after="0"/>
        <w:ind w:left="120"/>
        <w:jc w:val="center"/>
      </w:pPr>
      <w:r>
        <w:rPr>
          <w:rFonts w:ascii="Times New Roman" w:hAnsi="Times New Roman"/>
          <w:b w:val="false"/>
          <w:i w:val="false"/>
          <w:color w:val="000000"/>
          <w:sz w:val="21"/>
        </w:rPr>
        <w:t>[Filed ARC 6717C</w:t>
      </w:r>
      <w:r>
        <w:rPr>
          <w:rFonts w:ascii="Times New Roman" w:hAnsi="Times New Roman"/>
          <w:b w:val="false"/>
          <w:i w:val="false"/>
          <w:color w:val="000000"/>
          <w:sz w:val="21"/>
        </w:rPr>
        <w:t xml:space="preserve"> (Notice ARC 6509C, IAB 9/7/22)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[Filed ARC 0449D</w:t>
      </w:r>
      <w:r>
        <w:rPr>
          <w:rFonts w:ascii="Times New Roman" w:hAnsi="Times New Roman"/>
          <w:b w:val="false"/>
          <w:i w:val="false"/>
          <w:color w:val="000000"/>
          <w:sz w:val="21"/>
        </w:rPr>
        <w:t xml:space="preserve"> (Notice ARC 0253D, IAB 5/13/26)</w:t>
      </w:r>
      <w:r>
        <w:rPr>
          <w:rFonts w:ascii="Times New Roman" w:hAnsi="Times New Roman"/>
          <w:b w:val="false"/>
          <w:i w:val="false"/>
          <w:color w:val="000000"/>
          <w:sz w:val="21"/>
        </w:rPr>
        <w:t>, IAB 7/22/26, effective 9/1/26]</w:t>
      </w:r>
    </w:p>
    <w:p>
      <w:pPr>
        <w:pBdr>
          <w:bottom w:space="2"/>
        </w:pBdr>
        <w:spacing w:before="0" w:after="0"/>
        <w:ind w:left="120"/>
        <w:jc w:val="both"/>
      </w:pPr>
      <w:r>
        <w:rPr>
          <w:rFonts w:ascii="Times New Roman" w:hAnsi="Times New Roman"/>
          <w:b w:val="false"/>
          <w:i w:val="false"/>
          <w:color w:val="000000"/>
          <w:sz w:val="22"/>
        </w:rPr>
        <w:t xml:space="preserve">Effective date of subrule </w:t>
      </w:r>
      <w:hyperlink r:id="rId6">
        <w:r>
          <w:rPr>
            <w:rStyle w:val="Hyperlink"/>
            <w:rFonts w:ascii="Times New Roman" w:hAnsi="Times New Roman"/>
            <w:b w:val="false"/>
            <w:i w:val="false"/>
            <w:color w:val="000000"/>
            <w:sz w:val="22"/>
          </w:rPr>
          <w:t>770—142.6</w:t>
        </w:r>
      </w:hyperlink>
      <w:r>
        <w:rPr>
          <w:rFonts w:ascii="Times New Roman" w:hAnsi="Times New Roman"/>
          <w:b w:val="false"/>
          <w:i w:val="false"/>
          <w:color w:val="000000"/>
          <w:sz w:val="22"/>
        </w:rPr>
        <w:t>(1) delayed by the Administrative Rules Review Committee 70 days.</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158.pdf" Type="http://schemas.openxmlformats.org/officeDocument/2006/relationships/hyperlink" Id="rId5"/>
    <Relationship TargetMode="External" Target="https://www.legis.iowa.gov/docs/iac/rule/770.142.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