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133</w:t>
      </w:r>
    </w:p>
    <w:p>
      <w:pPr>
        <w:spacing w:before="0" w:after="0"/>
        <w:ind w:left="120"/>
        <w:jc w:val="center"/>
      </w:pPr>
      <w:r>
        <w:rPr>
          <w:rFonts w:ascii="Times New Roman" w:hAnsi="Times New Roman"/>
          <w:b w:val="false"/>
          <w:i w:val="false"/>
          <w:color w:val="000000"/>
          <w:sz w:val="21"/>
        </w:rPr>
        <w:t>IV-A EMERGENCY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441—133.1</w:t>
      </w:r>
      <w:r>
        <w:rPr>
          <w:rFonts w:ascii="Times New Roman" w:hAnsi="Times New Roman"/>
          <w:b/>
          <w:i w:val="false"/>
          <w:color w:val="000000"/>
          <w:sz w:val="22"/>
        </w:rPr>
        <w:t xml:space="preserve">(235)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under 18 years of age or a person 18 or 19 years of age who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in full-time attendance at an accredited school pursuing a course of study leading to a high school diploma,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attending an instructional program leading to a high school equivalency diploma,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been identified by the director of special education of an area education agency as a child requiring special education as defined in Iowa Code section </w:t>
      </w:r>
      <w:hyperlink r:id="rId5">
        <w:r>
          <w:rPr>
            <w:rStyle w:val="Hyperlink"/>
            <w:rFonts w:ascii="Times New Roman" w:hAnsi="Times New Roman"/>
            <w:b w:val="false"/>
            <w:i w:val="false"/>
            <w:color w:val="000000"/>
            <w:sz w:val="22"/>
          </w:rPr>
          <w:t>256B.2(1)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A person over 18 years of age who has received a high school diploma or a high school equivalency diploma is not a child within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assistance”</w:t>
      </w:r>
      <w:r>
        <w:rPr>
          <w:rFonts w:ascii="Times New Roman" w:hAnsi="Times New Roman"/>
          <w:b w:val="false"/>
          <w:i w:val="false"/>
          <w:color w:val="000000"/>
          <w:sz w:val="22"/>
        </w:rPr>
        <w:t> </w:t>
      </w:r>
      <w:r>
        <w:rPr>
          <w:rFonts w:ascii="Times New Roman" w:hAnsi="Times New Roman"/>
          <w:b w:val="false"/>
          <w:i w:val="false"/>
          <w:color w:val="000000"/>
          <w:sz w:val="22"/>
        </w:rPr>
        <w:t>means any one or more of the following services provided in response to a IV-A emergency assistance application: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Family-centered services as set forth in </w:t>
      </w:r>
      <w:hyperlink r:id="rId6">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Shelter care as set forth in 441—Chapters </w:t>
      </w:r>
      <w:hyperlink r:id="rId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202</w:t>
        </w:r>
      </w:hyperlink>
      <w:r>
        <w:rPr>
          <w:rFonts w:ascii="Times New Roman" w:hAnsi="Times New Roman"/>
          <w:b w:val="false"/>
          <w:i w:val="false"/>
          <w:color w:val="000000"/>
          <w:sz w:val="22"/>
        </w:rPr>
        <w:t>, except for placements of less than 48 hours.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Protective child care as set forth in </w:t>
      </w:r>
      <w:hyperlink r:id="rId9">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includes the following members: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Legal spouses (including common-law)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Natural, adoptive, or stepmother or stepfather, and children who reside in the same household.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individual or child who lives alone or who resides with a person, or persons, not legally responsible for the child’s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441—133.2</w:t>
      </w:r>
      <w:r>
        <w:rPr>
          <w:rFonts w:ascii="Times New Roman" w:hAnsi="Times New Roman"/>
          <w:b/>
          <w:i w:val="false"/>
          <w:color w:val="000000"/>
          <w:sz w:val="22"/>
        </w:rPr>
        <w:t xml:space="preserve">(235) </w:t>
      </w:r>
      <w:r>
        <w:rPr>
          <w:rFonts w:ascii="Times New Roman" w:hAnsi="Times New Roman"/>
          <w:b/>
          <w:i w:val="false"/>
          <w:color w:val="000000"/>
          <w:sz w:val="22"/>
        </w:rPr>
        <w:t xml:space="preserve">Application. </w:t>
      </w:r>
      <w:r>
        <w:rPr>
          <w:rFonts w:ascii="Times New Roman" w:hAnsi="Times New Roman"/>
          <w:b w:val="false"/>
          <w:i w:val="false"/>
          <w:color w:val="000000"/>
          <w:sz w:val="22"/>
        </w:rPr>
        <w:t>An application for emergency assistance shall be made on a form prescribed by the department. An application shall be completed any time a decision is made to provide emergency assistance or when an adult family member requests emergency assistance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133.2(1)</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filed by a parent, except where both parents are absent or unwilling to apply on behalf of a child who meets all other eligibility conditions, in which case another adult member of the family with whom the child resides or has resided within the past six months acting on behalf of the child may file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made on behalf of a child for whom the department has legal custody, the department may sign the application on behalf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441—133.3</w:t>
      </w:r>
      <w:r>
        <w:rPr>
          <w:rFonts w:ascii="Times New Roman" w:hAnsi="Times New Roman"/>
          <w:b/>
          <w:i w:val="false"/>
          <w:color w:val="000000"/>
          <w:sz w:val="22"/>
        </w:rPr>
        <w:t xml:space="preserve">(235) </w:t>
      </w:r>
      <w:r>
        <w:rPr>
          <w:rFonts w:ascii="Times New Roman" w:hAnsi="Times New Roman"/>
          <w:b/>
          <w:i w:val="false"/>
          <w:color w:val="000000"/>
          <w:sz w:val="22"/>
        </w:rPr>
        <w:t xml:space="preserve">Eligibility. </w:t>
      </w:r>
      <w:r>
        <w:rPr>
          <w:rFonts w:ascii="Times New Roman" w:hAnsi="Times New Roman"/>
          <w:b w:val="false"/>
          <w:i w:val="false"/>
          <w:color w:val="000000"/>
          <w:sz w:val="22"/>
        </w:rPr>
        <w:t>To be eligible for emergency assistance, the family shall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color w:val="000000"/>
          <w:sz w:val="22"/>
        </w:rPr>
        <w:t xml:space="preserve">Existence of an emergency. </w:t>
      </w:r>
      <w:r>
        <w:rPr>
          <w:rFonts w:ascii="Times New Roman" w:hAnsi="Times New Roman"/>
          <w:b w:val="false"/>
          <w:i w:val="false"/>
          <w:color w:val="000000"/>
          <w:sz w:val="22"/>
        </w:rPr>
        <w:t>An emergency situation shall exist. An emergency exists when one of the following situations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Abuse, neglect, or abandonment of a child, or risk of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are in imminent danger where continued presence in the home is not in the best interest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the home or are at risk of removal from the home because of abuse; neglect, which may include homelessness; or inability of parents to provide needed care or treatment or to control the behavior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color w:val="000000"/>
          <w:sz w:val="22"/>
        </w:rPr>
        <w:t xml:space="preserve">No refusal to accept employment or training. </w:t>
      </w:r>
      <w:r>
        <w:rPr>
          <w:rFonts w:ascii="Times New Roman" w:hAnsi="Times New Roman"/>
          <w:b w:val="false"/>
          <w:i w:val="false"/>
          <w:color w:val="000000"/>
          <w:sz w:val="22"/>
        </w:rPr>
        <w:t>The emergency situation did not arise out of an applicant’s or applicant’s family’s refusal without good cause to accept employment or training for employment within 30 days of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The child is living, or within six months prior to the month in which assistance is requested has been living, with a specified relative. “Relative” includes people related by blood, marriage, or adoption. The child may be considered as meeting the requirement of living with a specified relative if the child’s home is with one of the following or with a spouse of one of the following even though the marriage is terminated by death or divorce: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Father—adoptive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Mother—adoptive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Grandfather—grandfather-in-law, meaning the subsequent husband of the child’s natural grandmother, i.e., stepgrandfather—adoptive grandfather.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Grandmother—grandmother-in-law, meaning the subsequent wife of the child’s natural grandfather, i.e., stepgrandmother—adoptive grandmother.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Great-grandfather—great-great-grandfather.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Great-grandmother—great-great-grandmother.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Stepfather, but not his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Stepmother, but not her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Brother—brother-of-half-blood—stepbrother—brother-in-law—adoptive brother.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Sister—sister-of-half-blood—stepsister—sister-in-law—adoptive sister.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Uncle—aunt, of whole or half blood.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Uncle-in-law—aunt-in-law.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Great uncle—great-great-uncle.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Great aunt—great-great-aunt.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First cousins—nephews—nieces.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Second cousins, meaning the son or daughter of one’s parent’s first cousin.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color w:val="000000"/>
          <w:sz w:val="22"/>
        </w:rPr>
        <w:t xml:space="preserve">Service need. </w:t>
      </w:r>
      <w:r>
        <w:rPr>
          <w:rFonts w:ascii="Times New Roman" w:hAnsi="Times New Roman"/>
          <w:b w:val="false"/>
          <w:i w:val="false"/>
          <w:color w:val="000000"/>
          <w:sz w:val="22"/>
        </w:rPr>
        <w:t>The applicant must demonstrate a need for one or more of the emergency assistance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Family-centered services as established in </w:t>
      </w:r>
      <w:hyperlink r:id="rId10">
        <w:r>
          <w:rPr>
            <w:rStyle w:val="Hyperlink"/>
            <w:rFonts w:ascii="Times New Roman" w:hAnsi="Times New Roman"/>
            <w:b w:val="false"/>
            <w:i w:val="false"/>
            <w:color w:val="000000"/>
            <w:sz w:val="22"/>
          </w:rPr>
          <w:t>441—Chapter 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Shelter care as established in rule </w:t>
      </w:r>
      <w:hyperlink r:id="rId11">
        <w:r>
          <w:rPr>
            <w:rStyle w:val="Hyperlink"/>
            <w:rFonts w:ascii="Times New Roman" w:hAnsi="Times New Roman"/>
            <w:b w:val="false"/>
            <w:i w:val="false"/>
            <w:color w:val="000000"/>
            <w:sz w:val="22"/>
          </w:rPr>
          <w:t>441—202.2</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Protective child care as established in </w:t>
      </w:r>
      <w:hyperlink r:id="rId12">
        <w:r>
          <w:rPr>
            <w:rStyle w:val="Hyperlink"/>
            <w:rFonts w:ascii="Times New Roman" w:hAnsi="Times New Roman"/>
            <w:b w:val="false"/>
            <w:i w:val="false"/>
            <w:color w:val="000000"/>
            <w:sz w:val="22"/>
          </w:rPr>
          <w:t>441—subparagraph 170.2(2)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133.3(5)</w:t>
      </w:r>
      <w:r>
        <w:rPr>
          <w:rFonts w:ascii="Times New Roman" w:hAnsi="Times New Roman"/>
          <w:b w:val="false"/>
          <w:i w:val="false"/>
          <w:color w:val="000000"/>
          <w:sz w:val="22"/>
        </w:rPr>
        <w:t> </w:t>
      </w:r>
      <w:r>
        <w:rPr>
          <w:rFonts w:ascii="Times New Roman" w:hAnsi="Times New Roman"/>
          <w:b w:val="false"/>
          <w:i/>
          <w:color w:val="000000"/>
          <w:sz w:val="22"/>
        </w:rPr>
        <w:t xml:space="preserve">Receipt of assistance. </w:t>
      </w:r>
      <w:r>
        <w:rPr>
          <w:rFonts w:ascii="Times New Roman" w:hAnsi="Times New Roman"/>
          <w:b w:val="false"/>
          <w:i w:val="false"/>
          <w:color w:val="000000"/>
          <w:sz w:val="22"/>
        </w:rPr>
        <w:t>An application for IV-A emergency assistance was not previously approved within 12 months of the current application for IV-A emergency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133.3(6)</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The applicant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receiving family investment program (FIP), supplemental security income (SSI), Supplemental Nutrition Assistance Program (SNAP) benefits, or Medicaid in the month of the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have money to provide needed emergency care or services as evidenced by the applicant family’s income not exceeding 800 percent of the poverty guidelines established by the federal Office of Management and Budget.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441—133.4</w:t>
      </w:r>
      <w:r>
        <w:rPr>
          <w:rFonts w:ascii="Times New Roman" w:hAnsi="Times New Roman"/>
          <w:b/>
          <w:i w:val="false"/>
          <w:color w:val="000000"/>
          <w:sz w:val="22"/>
        </w:rPr>
        <w:t xml:space="preserve">(235) </w:t>
      </w:r>
      <w:r>
        <w:rPr>
          <w:rFonts w:ascii="Times New Roman" w:hAnsi="Times New Roman"/>
          <w:b/>
          <w:i w:val="false"/>
          <w:color w:val="000000"/>
          <w:sz w:val="22"/>
        </w:rPr>
        <w:t xml:space="preserve">Method of service provision. </w:t>
      </w:r>
      <w:r>
        <w:rPr>
          <w:rFonts w:ascii="Times New Roman" w:hAnsi="Times New Roman"/>
          <w:b w:val="false"/>
          <w:i w:val="false"/>
          <w:color w:val="000000"/>
          <w:sz w:val="22"/>
        </w:rPr>
        <w:t>Services shall be provided through the department or through purchase of service agreements with providers that are approved by the department as qualified to provide specified services and have a current contract with the department to provide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441—133.5</w:t>
      </w:r>
      <w:r>
        <w:rPr>
          <w:rFonts w:ascii="Times New Roman" w:hAnsi="Times New Roman"/>
          <w:b/>
          <w:i w:val="false"/>
          <w:color w:val="000000"/>
          <w:sz w:val="22"/>
        </w:rPr>
        <w:t xml:space="preserve">(235) </w:t>
      </w:r>
      <w:r>
        <w:rPr>
          <w:rFonts w:ascii="Times New Roman" w:hAnsi="Times New Roman"/>
          <w:b/>
          <w:i w:val="false"/>
          <w:color w:val="000000"/>
          <w:sz w:val="22"/>
        </w:rPr>
        <w:t xml:space="preserve">Duration of services. </w:t>
      </w:r>
      <w:r>
        <w:rPr>
          <w:rFonts w:ascii="Times New Roman" w:hAnsi="Times New Roman"/>
          <w:b w:val="false"/>
          <w:i w:val="false"/>
          <w:color w:val="000000"/>
          <w:sz w:val="22"/>
        </w:rPr>
        <w:t>Services to families and children provided through the emergency assistance program as a result of a single application may be provided for either a period not to exceed 12 months or until there is no longer a need for services according to eligibility criteria for the specified services,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441—133.6</w:t>
      </w:r>
      <w:r>
        <w:rPr>
          <w:rFonts w:ascii="Times New Roman" w:hAnsi="Times New Roman"/>
          <w:b/>
          <w:i w:val="false"/>
          <w:color w:val="000000"/>
          <w:sz w:val="22"/>
        </w:rPr>
        <w:t xml:space="preserve">(235) </w:t>
      </w:r>
      <w:r>
        <w:rPr>
          <w:rFonts w:ascii="Times New Roman" w:hAnsi="Times New Roman"/>
          <w:b/>
          <w:i w:val="false"/>
          <w:color w:val="000000"/>
          <w:sz w:val="22"/>
        </w:rPr>
        <w:t xml:space="preserve">Discontinuance of the program. </w:t>
      </w:r>
      <w:r>
        <w:rPr>
          <w:rFonts w:ascii="Times New Roman" w:hAnsi="Times New Roman"/>
          <w:b w:val="false"/>
          <w:i w:val="false"/>
          <w:color w:val="000000"/>
          <w:sz w:val="22"/>
        </w:rPr>
        <w:t>The program will be discontinued when federal funds have been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0500D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235.3(9)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9/15/94—published 10/12/94, effective 10/1/94]</w:t>
      </w:r>
    </w:p>
    <w:p>
      <w:pPr>
        <w:spacing w:before="0" w:after="0"/>
        <w:ind w:left="120"/>
        <w:jc w:val="center"/>
      </w:pPr>
      <w:r>
        <w:rPr>
          <w:rFonts w:ascii="Times New Roman" w:hAnsi="Times New Roman"/>
          <w:b w:val="false"/>
          <w:i w:val="false"/>
          <w:color w:val="000000"/>
          <w:sz w:val="21"/>
        </w:rPr>
        <w:t>[Filed emergency 12/14/94—published 1/4/95, effective 12/14/94]</w:t>
      </w:r>
    </w:p>
    <w:p>
      <w:pPr>
        <w:spacing w:before="0" w:after="0"/>
        <w:ind w:left="120"/>
        <w:jc w:val="center"/>
      </w:pPr>
      <w:r>
        <w:rPr>
          <w:rFonts w:ascii="Times New Roman" w:hAnsi="Times New Roman"/>
          <w:b w:val="false"/>
          <w:i w:val="false"/>
          <w:color w:val="000000"/>
          <w:sz w:val="21"/>
        </w:rPr>
        <w:t>[Filed 2/16/95, Notices 10/12/94, 1/4/95—published 3/15/95, effective 5/1/95]</w:t>
      </w:r>
    </w:p>
    <w:p>
      <w:pPr>
        <w:spacing w:before="0" w:after="0"/>
        <w:ind w:left="120"/>
        <w:jc w:val="center"/>
      </w:pPr>
      <w:r>
        <w:rPr>
          <w:rFonts w:ascii="Times New Roman" w:hAnsi="Times New Roman"/>
          <w:b w:val="false"/>
          <w:i w:val="false"/>
          <w:color w:val="000000"/>
          <w:sz w:val="21"/>
        </w:rPr>
        <w:t>[Filed emergency 3/20/95—published 4/12/95, effective 4/1/95]</w:t>
      </w:r>
    </w:p>
    <w:p>
      <w:pPr>
        <w:spacing w:before="0" w:after="0"/>
        <w:ind w:left="120"/>
        <w:jc w:val="center"/>
      </w:pPr>
      <w:r>
        <w:rPr>
          <w:rFonts w:ascii="Times New Roman" w:hAnsi="Times New Roman"/>
          <w:b w:val="false"/>
          <w:i w:val="false"/>
          <w:color w:val="000000"/>
          <w:sz w:val="21"/>
        </w:rPr>
        <w:t>[Filed 6/7/95, Notice 4/12/95—published 7/5/95, effective 9/1/95]</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ARC 7741B</w:t>
      </w:r>
      <w:r>
        <w:rPr>
          <w:rFonts w:ascii="Times New Roman" w:hAnsi="Times New Roman"/>
          <w:b w:val="false"/>
          <w:i w:val="false"/>
          <w:color w:val="000000"/>
          <w:sz w:val="21"/>
        </w:rPr>
        <w:t xml:space="preserve"> (Notice ARC 7526B, IAB 1/28/09)</w:t>
      </w:r>
      <w:r>
        <w:rPr>
          <w:rFonts w:ascii="Times New Roman" w:hAnsi="Times New Roman"/>
          <w:b w:val="false"/>
          <w:i w:val="false"/>
          <w:color w:val="000000"/>
          <w:sz w:val="21"/>
        </w:rPr>
        <w:t>, IAB 5/6/09, effective 7/1/09]</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6716C</w:t>
      </w:r>
      <w:r>
        <w:rPr>
          <w:rFonts w:ascii="Times New Roman" w:hAnsi="Times New Roman"/>
          <w:b w:val="false"/>
          <w:i w:val="false"/>
          <w:color w:val="000000"/>
          <w:sz w:val="21"/>
        </w:rPr>
        <w:t xml:space="preserve"> (Notice ARC 6530C, IAB 9/21/22)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0500D</w:t>
      </w:r>
      <w:r>
        <w:rPr>
          <w:rFonts w:ascii="Times New Roman" w:hAnsi="Times New Roman"/>
          <w:b w:val="false"/>
          <w:i w:val="false"/>
          <w:color w:val="000000"/>
          <w:sz w:val="21"/>
        </w:rPr>
        <w:t xml:space="preserve"> (Notice ARC 0380D, IAB 6/24/26)</w:t>
      </w:r>
      <w:r>
        <w:rPr>
          <w:rFonts w:ascii="Times New Roman" w:hAnsi="Times New Roman"/>
          <w:b w:val="false"/>
          <w:i w:val="false"/>
          <w:color w:val="000000"/>
          <w:sz w:val="21"/>
        </w:rPr>
        <w:t>, IAB 8/19/26, effective 10/1/26]</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B.2.pdf" Type="http://schemas.openxmlformats.org/officeDocument/2006/relationships/hyperlink" Id="rId5"/>
    <Relationship TargetMode="External" Target="https://www.legis.iowa.gov/docs/iac/chapter/441.172.pdf" Type="http://schemas.openxmlformats.org/officeDocument/2006/relationships/hyperlink" Id="rId6"/>
    <Relationship TargetMode="External" Target="https://www.legis.iowa.gov/docs/iac/chapter/441.156.pdf" Type="http://schemas.openxmlformats.org/officeDocument/2006/relationships/hyperlink" Id="rId7"/>
    <Relationship TargetMode="External" Target="https://www.legis.iowa.gov/docs/iac/chapter/441.202.pdf" Type="http://schemas.openxmlformats.org/officeDocument/2006/relationships/hyperlink" Id="rId8"/>
    <Relationship TargetMode="External" Target="https://www.legis.iowa.gov/docs/iac/chapter/441.170.pdf" Type="http://schemas.openxmlformats.org/officeDocument/2006/relationships/hyperlink" Id="rId9"/>
    <Relationship TargetMode="External" Target="https://www.legis.iowa.gov/docs/iac/chapter/441.172.pdf" Type="http://schemas.openxmlformats.org/officeDocument/2006/relationships/hyperlink" Id="rId10"/>
    <Relationship TargetMode="External" Target="https://www.legis.iowa.gov/docs/iac/rule/441.202.2.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co/chapter/235.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