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PROGRAM EVALUATION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441—13.1</w:t>
      </w:r>
      <w:r>
        <w:rPr>
          <w:rFonts w:ascii="Times New Roman" w:hAnsi="Times New Roman"/>
          <w:b/>
          <w:i w:val="false"/>
          <w:color w:val="000000"/>
          <w:sz w:val="22"/>
        </w:rPr>
        <w:t xml:space="preserve">(234,239B,249A,514I)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case” </w:t>
      </w:r>
      <w:r>
        <w:rPr>
          <w:rFonts w:ascii="Times New Roman" w:hAnsi="Times New Roman"/>
          <w:b w:val="false"/>
          <w:i w:val="false"/>
          <w:color w:val="000000"/>
          <w:sz w:val="22"/>
        </w:rPr>
        <w:t>means a case that was receiving assistance for the month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record” </w:t>
      </w:r>
      <w:r>
        <w:rPr>
          <w:rFonts w:ascii="Times New Roman" w:hAnsi="Times New Roman"/>
          <w:b w:val="false"/>
          <w:i w:val="false"/>
          <w:color w:val="000000"/>
          <w:sz w:val="22"/>
        </w:rPr>
        <w:t>means the record used to establish a client’s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applicant or recipient of the family investment program (FIP), Supplemental Nutrition Assistance Program (SNAP), child care assistance program, or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investigation” </w:t>
      </w:r>
      <w:r>
        <w:rPr>
          <w:rFonts w:ascii="Times New Roman" w:hAnsi="Times New Roman"/>
          <w:b w:val="false"/>
          <w:i w:val="false"/>
          <w:color w:val="000000"/>
          <w:sz w:val="22"/>
        </w:rPr>
        <w:t>means a contact involving the public or other agencies to obtain information about the client’s circumstances for the appropriate month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programs” </w:t>
      </w:r>
      <w:r>
        <w:rPr>
          <w:rFonts w:ascii="Times New Roman" w:hAnsi="Times New Roman"/>
          <w:b w:val="false"/>
          <w:i w:val="false"/>
          <w:color w:val="000000"/>
          <w:sz w:val="22"/>
        </w:rPr>
        <w:t>means those programs funded by Medicaid or the Children’s Health Insurance Program (CHIP).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“Month of review” </w:t>
      </w:r>
      <w:r>
        <w:rPr>
          <w:rFonts w:ascii="Times New Roman" w:hAnsi="Times New Roman"/>
          <w:b w:val="false"/>
          <w:i w:val="false"/>
          <w:color w:val="000000"/>
          <w:sz w:val="22"/>
        </w:rPr>
        <w:t xml:space="preserve">means the specific calendar or fiscal month for which the assistance under review is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“Negative case” </w:t>
      </w:r>
      <w:r>
        <w:rPr>
          <w:rFonts w:ascii="Times New Roman" w:hAnsi="Times New Roman"/>
          <w:b w:val="false"/>
          <w:i w:val="false"/>
          <w:color w:val="000000"/>
          <w:sz w:val="22"/>
        </w:rPr>
        <w:t>means a case that was terminated or denied assistance in the month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programs” </w:t>
      </w:r>
      <w:r>
        <w:rPr>
          <w:rFonts w:ascii="Times New Roman" w:hAnsi="Times New Roman"/>
          <w:b w:val="false"/>
          <w:i w:val="false"/>
          <w:color w:val="000000"/>
          <w:sz w:val="22"/>
        </w:rPr>
        <w:t>means those programs involving federal funds, i.e., FIP, SNAP, child care assistance program, and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sample” </w:t>
      </w:r>
      <w:r>
        <w:rPr>
          <w:rFonts w:ascii="Times New Roman" w:hAnsi="Times New Roman"/>
          <w:b w:val="false"/>
          <w:i w:val="false"/>
          <w:color w:val="000000"/>
          <w:sz w:val="22"/>
        </w:rPr>
        <w:t>means a systematic (or every nth unit) sample drawn monthly for which each item in the universe has an equal probability of being selected. Sample size is determined by federal guidelines or state corrective action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policies” </w:t>
      </w:r>
      <w:r>
        <w:rPr>
          <w:rFonts w:ascii="Times New Roman" w:hAnsi="Times New Roman"/>
          <w:b w:val="false"/>
          <w:i w:val="false"/>
          <w:color w:val="000000"/>
          <w:sz w:val="22"/>
        </w:rPr>
        <w:t>means the rules and regulations used by the department to administer FIP, SNAP, child care assistance program, and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441—13.2</w:t>
      </w:r>
      <w:r>
        <w:rPr>
          <w:rFonts w:ascii="Times New Roman" w:hAnsi="Times New Roman"/>
          <w:b/>
          <w:i w:val="false"/>
          <w:color w:val="000000"/>
          <w:sz w:val="22"/>
        </w:rPr>
        <w:t xml:space="preserve">(234,239B,249A,514I) </w:t>
      </w:r>
      <w:r>
        <w:rPr>
          <w:rFonts w:ascii="Times New Roman" w:hAnsi="Times New Roman"/>
          <w:b/>
          <w:i w:val="false"/>
          <w:color w:val="000000"/>
          <w:sz w:val="22"/>
        </w:rPr>
        <w:t xml:space="preserve">Review of public assistance records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Authorized representatives of the department shall have the right to review case records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client has provided complete, correct and accurate information to the department to be used in the determination of the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department has correctly administered the state policies in determination of assistance for the public assistance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overpayments or underpayments have been made correctly to the public assistance client during the month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there is indication of fraudulent practice or abuse of the public assistance programs by either the client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All pertinent case records within the department may be used by the reviewer to assist in substantiating an accurate reflection as to the correctness of the assistance received by the client.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w:t>
      </w:r>
      <w:r>
        <w:rPr>
          <w:rFonts w:ascii="Times New Roman" w:hAnsi="Times New Roman"/>
          <w:b/>
          <w:i w:val="false"/>
          <w:color w:val="000000"/>
          <w:sz w:val="22"/>
        </w:rPr>
        <w:t xml:space="preserve">(234,239B,249A,514I) </w:t>
      </w:r>
      <w:r>
        <w:rPr>
          <w:rFonts w:ascii="Times New Roman" w:hAnsi="Times New Roman"/>
          <w:b/>
          <w:i w:val="false"/>
          <w:color w:val="000000"/>
          <w:sz w:val="22"/>
        </w:rPr>
        <w:t xml:space="preserve">Cases to be reviewed. </w:t>
      </w:r>
      <w:r>
        <w:rPr>
          <w:rFonts w:ascii="Times New Roman" w:hAnsi="Times New Roman"/>
          <w:b w:val="false"/>
          <w:i w:val="false"/>
          <w:color w:val="000000"/>
          <w:sz w:val="22"/>
        </w:rPr>
        <w:t>Any active or negative public assistance case may be reviewed at any time at the discretion of the department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Ensure federal and state requirements for quality control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Detect error prone case issues to assist in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Maintain public assistance program integrity.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441—13.4</w:t>
      </w:r>
      <w:r>
        <w:rPr>
          <w:rFonts w:ascii="Times New Roman" w:hAnsi="Times New Roman"/>
          <w:b/>
          <w:i w:val="false"/>
          <w:color w:val="000000"/>
          <w:sz w:val="22"/>
        </w:rPr>
        <w:t xml:space="preserve">(234,239B,249A,514I) </w:t>
      </w:r>
      <w:r>
        <w:rPr>
          <w:rFonts w:ascii="Times New Roman" w:hAnsi="Times New Roman"/>
          <w:b/>
          <w:i w:val="false"/>
          <w:color w:val="000000"/>
          <w:sz w:val="22"/>
        </w:rPr>
        <w:t xml:space="preserve">Notification of review. </w:t>
      </w:r>
      <w:r>
        <w:rPr>
          <w:rFonts w:ascii="Times New Roman" w:hAnsi="Times New Roman"/>
          <w:b w:val="false"/>
          <w:i w:val="false"/>
          <w:color w:val="000000"/>
          <w:sz w:val="22"/>
        </w:rPr>
        <w:t>On positive case actions, clients will be notified, either orally or in writing, that their case has been selected for review when contact is required by federal guidelines, or when contact is allowed and additional information is required to complete the review. The client will be contacted in a negative case only if a discrepancy exists that cannot be resolved from the case record and contact is allowed by federal guidelines.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441—13.5</w:t>
      </w:r>
      <w:r>
        <w:rPr>
          <w:rFonts w:ascii="Times New Roman" w:hAnsi="Times New Roman"/>
          <w:b/>
          <w:i w:val="false"/>
          <w:color w:val="000000"/>
          <w:sz w:val="22"/>
        </w:rPr>
        <w:t xml:space="preserve">(234,239B,249A,514I) </w:t>
      </w:r>
      <w:r>
        <w:rPr>
          <w:rFonts w:ascii="Times New Roman" w:hAnsi="Times New Roman"/>
          <w:b/>
          <w:i w:val="false"/>
          <w:color w:val="000000"/>
          <w:sz w:val="22"/>
        </w:rPr>
        <w:t xml:space="preserve">Review procedure. </w:t>
      </w:r>
      <w:r>
        <w:rPr>
          <w:rFonts w:ascii="Times New Roman" w:hAnsi="Times New Roman"/>
          <w:b w:val="false"/>
          <w:i w:val="false"/>
          <w:color w:val="000000"/>
          <w:sz w:val="22"/>
        </w:rPr>
        <w:t xml:space="preserve">The department will select the appropriate method of conducting the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val="false"/>
          <w:color w:val="000000"/>
          <w:sz w:val="22"/>
        </w:rPr>
        <w:t>A random sampling of active and negative case actions will be used to determine the case records to be studied.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val="false"/>
          <w:color w:val="000000"/>
          <w:sz w:val="22"/>
        </w:rPr>
        <w:t>The case record will be analyzed for discrepancies and correct application of policies and procedures and will be used as the basis for a field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val="false"/>
          <w:color w:val="000000"/>
          <w:sz w:val="22"/>
        </w:rPr>
        <w:t>Client interviews are required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interviews are required on all active SNAP reviews.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appointment letter may be sent to the client by the department to schedule or confirm the appointment date, time and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Client contacts are only required in negative case reviews when there is a discrepancy that cannot be resolved from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val="false"/>
          <w:color w:val="000000"/>
          <w:sz w:val="22"/>
        </w:rPr>
        <w:t xml:space="preserve">Collateral contacts are made whenever the client is unable to furnish information needed or the reviewer needs additional information to establish the correctness of eligibility and payment but only when allowed by federal guidelines. Verification to confirm the accuracy of statements or information may be obtained by documentary evidence or a contact with a third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shall release specific information whenever necessary to verify information essential to the determination of eligibility and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Should the client refuse to authorize the department to contact an informant to verify information that is necessary for the completion of the review, collateral contacts will still be made through use of the general release statement contained in the financial support application or the review/recertification eligibility document.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441—13.6</w:t>
      </w:r>
      <w:r>
        <w:rPr>
          <w:rFonts w:ascii="Times New Roman" w:hAnsi="Times New Roman"/>
          <w:b/>
          <w:i w:val="false"/>
          <w:color w:val="000000"/>
          <w:sz w:val="22"/>
        </w:rPr>
        <w:t xml:space="preserve">(234) </w:t>
      </w:r>
      <w:r>
        <w:rPr>
          <w:rFonts w:ascii="Times New Roman" w:hAnsi="Times New Roman"/>
          <w:b/>
          <w:i w:val="false"/>
          <w:color w:val="000000"/>
          <w:sz w:val="22"/>
        </w:rPr>
        <w:t xml:space="preserve">Failure to cooperate. </w:t>
      </w:r>
      <w:r>
        <w:rPr>
          <w:rFonts w:ascii="Times New Roman" w:hAnsi="Times New Roman"/>
          <w:b w:val="false"/>
          <w:i w:val="false"/>
          <w:color w:val="000000"/>
          <w:sz w:val="22"/>
        </w:rPr>
        <w:t xml:space="preserve">Client cooperation with quality control is a program eligibility requirement as set forth in rule </w:t>
      </w:r>
      <w:hyperlink r:id="rId28">
        <w:r>
          <w:rPr>
            <w:rStyle w:val="Hyperlink"/>
            <w:rFonts w:ascii="Times New Roman" w:hAnsi="Times New Roman"/>
            <w:b w:val="false"/>
            <w:i w:val="false"/>
            <w:color w:val="000000"/>
            <w:sz w:val="22"/>
          </w:rPr>
          <w:t>441—65.3</w:t>
        </w:r>
      </w:hyperlink>
      <w:r>
        <w:rPr>
          <w:rFonts w:ascii="Times New Roman" w:hAnsi="Times New Roman"/>
          <w:b w:val="false"/>
          <w:i w:val="false"/>
          <w:color w:val="000000"/>
          <w:sz w:val="22"/>
        </w:rPr>
        <w:t>(234). When quality control determines that a client has refused to cooperate with the review process, the client is no longer eligible for the program benefits and will not be eligible for the program benefits until the client has cooperated.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441—13.7</w:t>
      </w:r>
      <w:r>
        <w:rPr>
          <w:rFonts w:ascii="Times New Roman" w:hAnsi="Times New Roman"/>
          <w:b/>
          <w:i w:val="false"/>
          <w:color w:val="000000"/>
          <w:sz w:val="22"/>
        </w:rPr>
        <w:t xml:space="preserve">(234,239B,249A,514I) </w:t>
      </w:r>
      <w:r>
        <w:rPr>
          <w:rFonts w:ascii="Times New Roman" w:hAnsi="Times New Roman"/>
          <w:b/>
          <w:i w:val="false"/>
          <w:color w:val="000000"/>
          <w:sz w:val="22"/>
        </w:rPr>
        <w:t xml:space="preserve">Report of findings. </w:t>
      </w:r>
      <w:r>
        <w:rPr>
          <w:rFonts w:ascii="Times New Roman" w:hAnsi="Times New Roman"/>
          <w:b w:val="false"/>
          <w:i w:val="false"/>
          <w:color w:val="000000"/>
          <w:sz w:val="22"/>
        </w:rPr>
        <w:t>The quality control review findings are used by the department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To take the appropriate case action where an overpayment or underpayment has been found in a client’s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To identify error-prone program issues to be used in planning a department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To determine the error rate used to establish state agency liability.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441—13.8</w:t>
      </w:r>
      <w:r>
        <w:rPr>
          <w:rFonts w:ascii="Times New Roman" w:hAnsi="Times New Roman"/>
          <w:b/>
          <w:i w:val="false"/>
          <w:color w:val="000000"/>
          <w:sz w:val="22"/>
        </w:rPr>
        <w:t xml:space="preserve">(234,237A,239B,249A,514I) </w:t>
      </w:r>
      <w:r>
        <w:rPr>
          <w:rFonts w:ascii="Times New Roman" w:hAnsi="Times New Roman"/>
          <w:b/>
          <w:i w:val="false"/>
          <w:color w:val="000000"/>
          <w:sz w:val="22"/>
        </w:rPr>
        <w:t xml:space="preserve">Federal review. </w:t>
      </w:r>
      <w:r>
        <w:rPr>
          <w:rFonts w:ascii="Times New Roman" w:hAnsi="Times New Roman"/>
          <w:b w:val="false"/>
          <w:i w:val="false"/>
          <w:color w:val="000000"/>
          <w:sz w:val="22"/>
        </w:rPr>
        <w:t>A sample of cases may also be reviewed by the applicable federal agency to determine the correctness of the department’s action or of the department’s review of the case.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237A.12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ARC 4750C</w:t>
      </w:r>
      <w:r>
        <w:rPr>
          <w:rFonts w:ascii="Times New Roman" w:hAnsi="Times New Roman"/>
          <w:b w:val="false"/>
          <w:i w:val="false"/>
          <w:color w:val="000000"/>
          <w:sz w:val="21"/>
        </w:rPr>
        <w:t xml:space="preserve"> (Notice ARC 4601C,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6385C</w:t>
      </w:r>
      <w:r>
        <w:rPr>
          <w:rFonts w:ascii="Times New Roman" w:hAnsi="Times New Roman"/>
          <w:b w:val="false"/>
          <w:i w:val="false"/>
          <w:color w:val="000000"/>
          <w:sz w:val="21"/>
        </w:rPr>
        <w:t xml:space="preserve"> (Notice ARC 6283C,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8067C</w:t>
      </w:r>
      <w:r>
        <w:rPr>
          <w:rFonts w:ascii="Times New Roman" w:hAnsi="Times New Roman"/>
          <w:b w:val="false"/>
          <w:i w:val="false"/>
          <w:color w:val="000000"/>
          <w:sz w:val="21"/>
        </w:rPr>
        <w:t xml:space="preserve"> (Notice ARC 7364C, IAB 1/24/24)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12.pdf" Type="http://schemas.openxmlformats.org/officeDocument/2006/relationships/hyperlink" Id="rId5"/>
    <Relationship TargetMode="External" Target="https://www.legis.iowa.gov/docs/ico/chapter/239B.4.pdf" Type="http://schemas.openxmlformats.org/officeDocument/2006/relationships/hyperlink" Id="rId6"/>
    <Relationship TargetMode="External" Target="https://www.legis.iowa.gov/docs/ico/chapter/249A.4.pdf" Type="http://schemas.openxmlformats.org/officeDocument/2006/relationships/hyperlink" Id="rId7"/>
    <Relationship TargetMode="External" Target="https://www.legis.iowa.gov/docs/ico/chapter/514I.4.pdf" Type="http://schemas.openxmlformats.org/officeDocument/2006/relationships/hyperlink" Id="rId8"/>
    <Relationship TargetMode="External" Target="https://www.legis.iowa.gov/docs/ico/chapter/234.12.pdf" Type="http://schemas.openxmlformats.org/officeDocument/2006/relationships/hyperlink" Id="rId9"/>
    <Relationship TargetMode="External" Target="https://www.legis.iowa.gov/docs/ico/chapter/239B.4.pdf" Type="http://schemas.openxmlformats.org/officeDocument/2006/relationships/hyperlink" Id="rId10"/>
    <Relationship TargetMode="External" Target="https://www.legis.iowa.gov/docs/ico/chapter/249A.4.pdf" Type="http://schemas.openxmlformats.org/officeDocument/2006/relationships/hyperlink" Id="rId11"/>
    <Relationship TargetMode="External" Target="https://www.legis.iowa.gov/docs/ico/chapter/514I.4.pdf" Type="http://schemas.openxmlformats.org/officeDocument/2006/relationships/hyperlink" Id="rId12"/>
    <Relationship TargetMode="External" Target="https://www.legis.iowa.gov/docs/ico/chapter/234.6.pdf" Type="http://schemas.openxmlformats.org/officeDocument/2006/relationships/hyperlink" Id="rId13"/>
    <Relationship TargetMode="External" Target="https://www.legis.iowa.gov/docs/ico/chapter/234.12.pdf" Type="http://schemas.openxmlformats.org/officeDocument/2006/relationships/hyperlink" Id="rId14"/>
    <Relationship TargetMode="External" Target="https://www.legis.iowa.gov/docs/ico/chapter/239B.4.pdf" Type="http://schemas.openxmlformats.org/officeDocument/2006/relationships/hyperlink" Id="rId15"/>
    <Relationship TargetMode="External" Target="https://www.legis.iowa.gov/docs/ico/chapter/249A.4.pdf" Type="http://schemas.openxmlformats.org/officeDocument/2006/relationships/hyperlink" Id="rId16"/>
    <Relationship TargetMode="External" Target="https://www.legis.iowa.gov/docs/ico/chapter/514I.4.pdf" Type="http://schemas.openxmlformats.org/officeDocument/2006/relationships/hyperlink" Id="rId17"/>
    <Relationship TargetMode="External" Target="https://www.legis.iowa.gov/docs/ico/chapter/234.6.pdf" Type="http://schemas.openxmlformats.org/officeDocument/2006/relationships/hyperlink" Id="rId18"/>
    <Relationship TargetMode="External" Target="https://www.legis.iowa.gov/docs/ico/chapter/234.12.pdf" Type="http://schemas.openxmlformats.org/officeDocument/2006/relationships/hyperlink" Id="rId19"/>
    <Relationship TargetMode="External" Target="https://www.legis.iowa.gov/docs/ico/chapter/239B.4.pdf" Type="http://schemas.openxmlformats.org/officeDocument/2006/relationships/hyperlink" Id="rId20"/>
    <Relationship TargetMode="External" Target="https://www.legis.iowa.gov/docs/ico/chapter/249A.4.pdf" Type="http://schemas.openxmlformats.org/officeDocument/2006/relationships/hyperlink" Id="rId21"/>
    <Relationship TargetMode="External" Target="https://www.legis.iowa.gov/docs/ico/chapter/514I.4.pdf" Type="http://schemas.openxmlformats.org/officeDocument/2006/relationships/hyperlink" Id="rId22"/>
    <Relationship TargetMode="External" Target="https://www.legis.iowa.gov/docs/ico/chapter/234.6.pdf" Type="http://schemas.openxmlformats.org/officeDocument/2006/relationships/hyperlink" Id="rId23"/>
    <Relationship TargetMode="External" Target="https://www.legis.iowa.gov/docs/ico/chapter/234.12.pdf" Type="http://schemas.openxmlformats.org/officeDocument/2006/relationships/hyperlink" Id="rId24"/>
    <Relationship TargetMode="External" Target="https://www.legis.iowa.gov/docs/ico/chapter/239B.4.pdf" Type="http://schemas.openxmlformats.org/officeDocument/2006/relationships/hyperlink" Id="rId25"/>
    <Relationship TargetMode="External" Target="https://www.legis.iowa.gov/docs/ico/chapter/249A.4.pdf" Type="http://schemas.openxmlformats.org/officeDocument/2006/relationships/hyperlink" Id="rId26"/>
    <Relationship TargetMode="External" Target="https://www.legis.iowa.gov/docs/ico/chapter/514I.4.pdf" Type="http://schemas.openxmlformats.org/officeDocument/2006/relationships/hyperlink" Id="rId27"/>
    <Relationship TargetMode="External" Target="https://www.legis.iowa.gov/docs/iac/rule/441.65.3.pdf" Type="http://schemas.openxmlformats.org/officeDocument/2006/relationships/hyperlink" Id="rId28"/>
    <Relationship TargetMode="External" Target="https://www.legis.iowa.gov/docs/ico/chapter/234.12.pdf" Type="http://schemas.openxmlformats.org/officeDocument/2006/relationships/hyperlink" Id="rId29"/>
    <Relationship TargetMode="External" Target="https://www.legis.iowa.gov/docs/ico/chapter/234.12.pdf" Type="http://schemas.openxmlformats.org/officeDocument/2006/relationships/hyperlink" Id="rId30"/>
    <Relationship TargetMode="External" Target="https://www.legis.iowa.gov/docs/ico/chapter/239B.4.pdf" Type="http://schemas.openxmlformats.org/officeDocument/2006/relationships/hyperlink" Id="rId31"/>
    <Relationship TargetMode="External" Target="https://www.legis.iowa.gov/docs/ico/chapter/249A.4.pdf" Type="http://schemas.openxmlformats.org/officeDocument/2006/relationships/hyperlink" Id="rId32"/>
    <Relationship TargetMode="External" Target="https://www.legis.iowa.gov/docs/ico/chapter/514I.4.pdf" Type="http://schemas.openxmlformats.org/officeDocument/2006/relationships/hyperlink" Id="rId33"/>
    <Relationship TargetMode="External" Target="https://www.legis.iowa.gov/docs/ico/chapter/234.12.pdf" Type="http://schemas.openxmlformats.org/officeDocument/2006/relationships/hyperlink" Id="rId34"/>
    <Relationship TargetMode="External" Target="https://www.legis.iowa.gov/docs/ico/chapter/237A.12.pdf" Type="http://schemas.openxmlformats.org/officeDocument/2006/relationships/hyperlink" Id="rId35"/>
    <Relationship TargetMode="External" Target="https://www.legis.iowa.gov/docs/ico/chapter/239B.4.pdf" Type="http://schemas.openxmlformats.org/officeDocument/2006/relationships/hyperlink" Id="rId36"/>
    <Relationship TargetMode="External" Target="https://www.legis.iowa.gov/docs/ico/chapter/249A.4.pdf" Type="http://schemas.openxmlformats.org/officeDocument/2006/relationships/hyperlink" Id="rId37"/>
    <Relationship TargetMode="External" Target="https://www.legis.iowa.gov/docs/ico/chapter/514I.4.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