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125</w:t>
      </w:r>
    </w:p>
    <w:p>
      <w:pPr>
        <w:spacing w:before="0" w:after="0"/>
        <w:ind w:left="120"/>
        <w:jc w:val="center"/>
      </w:pPr>
      <w:r>
        <w:rPr>
          <w:rFonts w:ascii="Times New Roman" w:hAnsi="Times New Roman"/>
          <w:b w:val="false"/>
          <w:i w:val="false"/>
          <w:color w:val="000000"/>
          <w:sz w:val="21"/>
        </w:rPr>
        <w:t>KINSHIP FOSTER CARE APPROVAL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5/1/31</w:t>
      </w:r>
    </w:p>
    <w:p>
      <w:pPr>
        <w:spacing w:before="0" w:after="0"/>
        <w:ind w:left="120"/>
        <w:jc w:val="both"/>
      </w:pPr>
      <w:r>
        <w:rPr>
          <w:rFonts w:ascii="Times New Roman" w:hAnsi="Times New Roman"/>
          <w:b/>
          <w:i w:val="false"/>
          <w:color w:val="000000"/>
          <w:sz w:val="22"/>
        </w:rPr>
        <w:t>441—125.1</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“Approval”</w:t>
      </w:r>
      <w:r>
        <w:rPr>
          <w:rFonts w:ascii="Times New Roman" w:hAnsi="Times New Roman"/>
          <w:b w:val="false"/>
          <w:i w:val="false"/>
          <w:color w:val="000000"/>
          <w:sz w:val="22"/>
        </w:rPr>
        <w:t> </w:t>
      </w:r>
      <w:r>
        <w:rPr>
          <w:rFonts w:ascii="Times New Roman" w:hAnsi="Times New Roman"/>
          <w:b w:val="false"/>
          <w:i w:val="false"/>
          <w:color w:val="000000"/>
          <w:sz w:val="22"/>
        </w:rPr>
        <w:t>means the authorization granted to a kinship caregiver by the department through an expedited process to provide child foster care and allows the kinship caregiver to receive maximum financial support and to obtain the information and resources necessary to meet the needs of a child under a court-ordered placement with the kinship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kinship caregiver”</w:t>
      </w:r>
      <w:r>
        <w:rPr>
          <w:rFonts w:ascii="Times New Roman" w:hAnsi="Times New Roman"/>
          <w:b w:val="false"/>
          <w:i w:val="false"/>
          <w:color w:val="000000"/>
          <w:sz w:val="22"/>
        </w:rPr>
        <w:t> </w:t>
      </w:r>
      <w:r>
        <w:rPr>
          <w:rFonts w:ascii="Times New Roman" w:hAnsi="Times New Roman"/>
          <w:b w:val="false"/>
          <w:i w:val="false"/>
          <w:color w:val="000000"/>
          <w:sz w:val="22"/>
        </w:rPr>
        <w:t>means a kinship caregiver granted approval for kinship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chapter, only means the child or children who are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“Consanguinity”</w:t>
      </w:r>
      <w:r>
        <w:rPr>
          <w:rFonts w:ascii="Times New Roman" w:hAnsi="Times New Roman"/>
          <w:b w:val="false"/>
          <w:i w:val="false"/>
          <w:color w:val="000000"/>
          <w:sz w:val="22"/>
        </w:rPr>
        <w:t> </w:t>
      </w:r>
      <w:r>
        <w:rPr>
          <w:rFonts w:ascii="Times New Roman" w:hAnsi="Times New Roman"/>
          <w:b w:val="false"/>
          <w:i w:val="false"/>
          <w:color w:val="000000"/>
          <w:sz w:val="22"/>
        </w:rPr>
        <w:t>means relatives who share a common biological ancestor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“Corporal punishment”</w:t>
      </w:r>
      <w:r>
        <w:rPr>
          <w:rFonts w:ascii="Times New Roman" w:hAnsi="Times New Roman"/>
          <w:b w:val="false"/>
          <w:i w:val="false"/>
          <w:color w:val="000000"/>
          <w:sz w:val="22"/>
        </w:rPr>
        <w:t> </w:t>
      </w:r>
      <w:r>
        <w:rPr>
          <w:rFonts w:ascii="Times New Roman" w:hAnsi="Times New Roman"/>
          <w:b w:val="false"/>
          <w:i w:val="false"/>
          <w:color w:val="000000"/>
          <w:sz w:val="22"/>
        </w:rPr>
        <w:t>means the intentional physical punishment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“Fictive kin”</w:t>
      </w:r>
      <w:r>
        <w:rPr>
          <w:rFonts w:ascii="Times New Roman" w:hAnsi="Times New Roman"/>
          <w:b w:val="false"/>
          <w:i w:val="false"/>
          <w:color w:val="000000"/>
          <w:sz w:val="22"/>
        </w:rPr>
        <w:t> </w:t>
      </w:r>
      <w:r>
        <w:rPr>
          <w:rFonts w:ascii="Times New Roman" w:hAnsi="Times New Roman"/>
          <w:b w:val="false"/>
          <w:i w:val="false"/>
          <w:color w:val="000000"/>
          <w:sz w:val="22"/>
        </w:rPr>
        <w:t>means an adult person who is not a relative of a child but who has an emotionally significant and positive relationship with a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care of a child by a relative or fictive kin providing full-time nurturing and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foster care”</w:t>
      </w:r>
      <w:r>
        <w:rPr>
          <w:rFonts w:ascii="Times New Roman" w:hAnsi="Times New Roman"/>
          <w:b w:val="false"/>
          <w:i w:val="false"/>
          <w:color w:val="000000"/>
          <w:sz w:val="22"/>
        </w:rPr>
        <w:t> </w:t>
      </w:r>
      <w:r>
        <w:rPr>
          <w:rFonts w:ascii="Times New Roman" w:hAnsi="Times New Roman"/>
          <w:b w:val="false"/>
          <w:i w:val="false"/>
          <w:color w:val="000000"/>
          <w:sz w:val="22"/>
        </w:rPr>
        <w:t>means an expedited process to approve a kinship caregiver for foster care through providing the necessary information, resources, and maximum financial support to the caregiver to meet the needs of the child court ordered to placement in the caregiver’s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foster caregiver”</w:t>
      </w:r>
      <w:r>
        <w:rPr>
          <w:rFonts w:ascii="Times New Roman" w:hAnsi="Times New Roman"/>
          <w:b w:val="false"/>
          <w:i w:val="false"/>
          <w:color w:val="000000"/>
          <w:sz w:val="22"/>
        </w:rPr>
        <w:t> </w:t>
      </w:r>
      <w:r>
        <w:rPr>
          <w:rFonts w:ascii="Times New Roman" w:hAnsi="Times New Roman"/>
          <w:b w:val="false"/>
          <w:i w:val="false"/>
          <w:color w:val="000000"/>
          <w:sz w:val="22"/>
        </w:rPr>
        <w:t>means a relative or fictive kin providing care for a child who is approved for kinship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and prudent parent standard”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“Recruitment and retention contractor”</w:t>
      </w:r>
      <w:r>
        <w:rPr>
          <w:rFonts w:ascii="Times New Roman" w:hAnsi="Times New Roman"/>
          <w:b w:val="false"/>
          <w:i w:val="false"/>
          <w:color w:val="000000"/>
          <w:sz w:val="22"/>
        </w:rPr>
        <w:t> </w:t>
      </w:r>
      <w:r>
        <w:rPr>
          <w:rFonts w:ascii="Times New Roman" w:hAnsi="Times New Roman"/>
          <w:b w:val="false"/>
          <w:i w:val="false"/>
          <w:color w:val="000000"/>
          <w:sz w:val="22"/>
        </w:rPr>
        <w:t>means the entity that contracts with the department statewide to recruit foster and adoptive parents, complete home studies, and perform activities to support and encourage retention of foster and adoptive parents or any of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“Relative”</w:t>
      </w:r>
      <w:r>
        <w:rPr>
          <w:rFonts w:ascii="Times New Roman" w:hAnsi="Times New Roman"/>
          <w:b w:val="false"/>
          <w:i w:val="false"/>
          <w:color w:val="000000"/>
          <w:sz w:val="22"/>
        </w:rPr>
        <w:t> </w:t>
      </w:r>
      <w:r>
        <w:rPr>
          <w:rFonts w:ascii="Times New Roman" w:hAnsi="Times New Roman"/>
          <w:b w:val="false"/>
          <w:i w:val="false"/>
          <w:color w:val="000000"/>
          <w:sz w:val="22"/>
        </w:rPr>
        <w:t>means an individual related to the child within the fourth degree of consanguinity or affinity, by marriage, or through adoption. This includes the parent of a sibling of the child if the sibling’s parent’s parental rights were not previously terminated in relation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 manager”</w:t>
      </w:r>
      <w:r>
        <w:rPr>
          <w:rFonts w:ascii="Times New Roman" w:hAnsi="Times New Roman"/>
          <w:b w:val="false"/>
          <w:i w:val="false"/>
          <w:color w:val="000000"/>
          <w:sz w:val="22"/>
        </w:rPr>
        <w:t> </w:t>
      </w:r>
      <w:r>
        <w:rPr>
          <w:rFonts w:ascii="Times New Roman" w:hAnsi="Times New Roman"/>
          <w:b w:val="false"/>
          <w:i w:val="false"/>
          <w:color w:val="000000"/>
          <w:sz w:val="22"/>
        </w:rPr>
        <w:t>means the department employee responsible for managing department offices and personnel within the service area and for implementing policies and procedures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441—125.2</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Application for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125.2(1)</w:t>
      </w:r>
      <w:r>
        <w:rPr>
          <w:rFonts w:ascii="Times New Roman" w:hAnsi="Times New Roman"/>
          <w:b w:val="false"/>
          <w:i w:val="false"/>
          <w:color w:val="000000"/>
          <w:sz w:val="22"/>
        </w:rPr>
        <w:t> </w:t>
      </w:r>
      <w:r>
        <w:rPr>
          <w:rFonts w:ascii="Times New Roman" w:hAnsi="Times New Roman"/>
          <w:b w:val="false"/>
          <w:i/>
          <w:color w:val="000000"/>
          <w:sz w:val="22"/>
        </w:rPr>
        <w:t xml:space="preserve">Right to apply. </w:t>
      </w:r>
      <w:r>
        <w:rPr>
          <w:rFonts w:ascii="Times New Roman" w:hAnsi="Times New Roman"/>
          <w:b w:val="false"/>
          <w:i w:val="false"/>
          <w:color w:val="000000"/>
          <w:sz w:val="22"/>
        </w:rPr>
        <w:t>A relative or fictive kin of a child who has been court-ordered to placement in the relative or fictive kin’s care can apply for kinship foster care approval. All applicants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A relative or fictive kin caregiver wishing to apply for kinship foster care approval shall be referred by the department or the department’s contractor for kinship navigator services. The department’s recruitment and retention contractor in the applicable service area shall provide the application packet and assist in completing the approval process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125.2(3)</w:t>
      </w:r>
      <w:r>
        <w:rPr>
          <w:rFonts w:ascii="Times New Roman" w:hAnsi="Times New Roman"/>
          <w:b w:val="false"/>
          <w:i w:val="false"/>
          <w:color w:val="000000"/>
          <w:sz w:val="22"/>
        </w:rPr>
        <w:t> </w:t>
      </w:r>
      <w:r>
        <w:rPr>
          <w:rFonts w:ascii="Times New Roman" w:hAnsi="Times New Roman"/>
          <w:b w:val="false"/>
          <w:i/>
          <w:color w:val="000000"/>
          <w:sz w:val="22"/>
        </w:rPr>
        <w:t xml:space="preserve">Decision to operate a kinship foster home. </w:t>
      </w:r>
      <w:r>
        <w:rPr>
          <w:rFonts w:ascii="Times New Roman" w:hAnsi="Times New Roman"/>
          <w:b w:val="false"/>
          <w:i w:val="false"/>
          <w:color w:val="000000"/>
          <w:sz w:val="22"/>
        </w:rPr>
        <w:t>When an applicant decides to operate a kinship foster family home, the applicant shall complete the Kinship Foster Care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125.2(4)</w:t>
      </w:r>
      <w:r>
        <w:rPr>
          <w:rFonts w:ascii="Times New Roman" w:hAnsi="Times New Roman"/>
          <w:b w:val="false"/>
          <w:i w:val="false"/>
          <w:color w:val="000000"/>
          <w:sz w:val="22"/>
        </w:rPr>
        <w:t> </w:t>
      </w:r>
      <w:r>
        <w:rPr>
          <w:rFonts w:ascii="Times New Roman" w:hAnsi="Times New Roman"/>
          <w:b w:val="false"/>
          <w:i/>
          <w:color w:val="000000"/>
          <w:sz w:val="22"/>
        </w:rPr>
        <w:t xml:space="preserve">Withdrawal of an application. </w:t>
      </w:r>
      <w:r>
        <w:rPr>
          <w:rFonts w:ascii="Times New Roman" w:hAnsi="Times New Roman"/>
          <w:b w:val="false"/>
          <w:i w:val="false"/>
          <w:color w:val="000000"/>
          <w:sz w:val="22"/>
        </w:rPr>
        <w:t>The applicant shall report the withdrawal of an application promptly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125.2(5)</w:t>
      </w:r>
      <w:r>
        <w:rPr>
          <w:rFonts w:ascii="Times New Roman" w:hAnsi="Times New Roman"/>
          <w:b w:val="false"/>
          <w:i w:val="false"/>
          <w:color w:val="000000"/>
          <w:sz w:val="22"/>
        </w:rPr>
        <w:t> </w:t>
      </w:r>
      <w:r>
        <w:rPr>
          <w:rFonts w:ascii="Times New Roman" w:hAnsi="Times New Roman"/>
          <w:b w:val="false"/>
          <w:i/>
          <w:color w:val="000000"/>
          <w:sz w:val="22"/>
        </w:rPr>
        <w:t xml:space="preserve">Evaluation of the application. </w:t>
      </w:r>
      <w:r>
        <w:rPr>
          <w:rFonts w:ascii="Times New Roman" w:hAnsi="Times New Roman"/>
          <w:b w:val="false"/>
          <w:i w:val="false"/>
          <w:color w:val="000000"/>
          <w:sz w:val="22"/>
        </w:rPr>
        <w:t>Each application will be evaluated by the department to ensure that all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it results in adverse action, a founded child abuse report of a kinship foster parent applicant will be evaluated by the department to determine if the founded abuse merits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founded child abuse reports on a case-by-case basis. Considerations the department will take include but are not limited to whether the abuse was an isolated incident or is symptomatic of a broader, systemic problem.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125.2(6)</w:t>
      </w:r>
      <w:r>
        <w:rPr>
          <w:rFonts w:ascii="Times New Roman" w:hAnsi="Times New Roman"/>
          <w:b w:val="false"/>
          <w:i w:val="false"/>
          <w:color w:val="000000"/>
          <w:sz w:val="22"/>
        </w:rPr>
        <w:t> </w:t>
      </w:r>
      <w:r>
        <w:rPr>
          <w:rFonts w:ascii="Times New Roman" w:hAnsi="Times New Roman"/>
          <w:b w:val="false"/>
          <w:i/>
          <w:color w:val="000000"/>
          <w:sz w:val="22"/>
        </w:rPr>
        <w:t xml:space="preserve">Reports and information. </w:t>
      </w:r>
      <w:r>
        <w:rPr>
          <w:rFonts w:ascii="Times New Roman" w:hAnsi="Times New Roman"/>
          <w:b w:val="false"/>
          <w:i w:val="false"/>
          <w:color w:val="000000"/>
          <w:sz w:val="22"/>
        </w:rPr>
        <w:t>The applicant shall furnish all requested reports and information relevant to the approval determination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125.2(7)</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reapproval. </w:t>
      </w:r>
      <w:r>
        <w:rPr>
          <w:rFonts w:ascii="Times New Roman" w:hAnsi="Times New Roman"/>
          <w:b w:val="false"/>
          <w:i w:val="false"/>
          <w:color w:val="000000"/>
          <w:sz w:val="22"/>
        </w:rPr>
        <w:t xml:space="preserve">The department or its agent will send an application for reapproval 90 days before the approval expires. Applications for reapproval shall be made on the form specified in subrule </w:t>
      </w:r>
      <w:hyperlink r:id="rId6">
        <w:r>
          <w:rPr>
            <w:rStyle w:val="Hyperlink"/>
            <w:rFonts w:ascii="Times New Roman" w:hAnsi="Times New Roman"/>
            <w:b w:val="false"/>
            <w:i w:val="false"/>
            <w:color w:val="000000"/>
            <w:sz w:val="22"/>
          </w:rPr>
          <w:t>125.2(3)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reapproval shall be made no less than 30 days but no more than 90 days before the approval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reapproval of a kinship foster family approval shall be submitted to the recruitment and retention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or deny an application for reapproval as described in rules </w:t>
      </w:r>
      <w:hyperlink r:id="rId7">
        <w:r>
          <w:rPr>
            <w:rStyle w:val="Hyperlink"/>
            <w:rFonts w:ascii="Times New Roman" w:hAnsi="Times New Roman"/>
            <w:b w:val="false"/>
            <w:i w:val="false"/>
            <w:color w:val="000000"/>
            <w:sz w:val="22"/>
          </w:rPr>
          <w:t>441—125.3</w:t>
        </w:r>
      </w:hyperlink>
      <w:r>
        <w:rPr>
          <w:rFonts w:ascii="Times New Roman" w:hAnsi="Times New Roman"/>
          <w:b w:val="false"/>
          <w:i w:val="false"/>
          <w:color w:val="000000"/>
          <w:sz w:val="22"/>
        </w:rPr>
        <w:t xml:space="preserve">(237) and </w:t>
      </w:r>
      <w:hyperlink r:id="rId8">
        <w:r>
          <w:rPr>
            <w:rStyle w:val="Hyperlink"/>
            <w:rFonts w:ascii="Times New Roman" w:hAnsi="Times New Roman"/>
            <w:b w:val="false"/>
            <w:i w:val="false"/>
            <w:color w:val="000000"/>
            <w:sz w:val="22"/>
          </w:rPr>
          <w:t>441—125.4</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The department will notify an applicant of the approval or denial of an initial application within 60 days of the date that the applicant is referred to the recruitment and retention contractor. The department will notify an applicant regarding reapproval within 30 days of the expiration of the initial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125.2(9)</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Approved kinship foster caregiver applicants will be approved for a term of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Thereafter, the caregiver shall apply for reapproval every two years based on the requirements of subrule </w:t>
      </w:r>
      <w:hyperlink r:id="rId9">
        <w:r>
          <w:rPr>
            <w:rStyle w:val="Hyperlink"/>
            <w:rFonts w:ascii="Times New Roman" w:hAnsi="Times New Roman"/>
            <w:b w:val="false"/>
            <w:i w:val="false"/>
            <w:color w:val="000000"/>
            <w:sz w:val="22"/>
          </w:rPr>
          <w:t>125.2(7)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notice of approval is required any time the caregiver moves to a new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441—125.3</w:t>
      </w:r>
      <w:r>
        <w:rPr>
          <w:rFonts w:ascii="Times New Roman" w:hAnsi="Times New Roman"/>
          <w:b/>
          <w:i w:val="false"/>
          <w:color w:val="000000"/>
          <w:sz w:val="22"/>
        </w:rPr>
        <w:t xml:space="preserve">(237) </w:t>
      </w:r>
      <w:r>
        <w:rPr>
          <w:rFonts w:ascii="Times New Roman" w:hAnsi="Times New Roman"/>
          <w:b/>
          <w:i w:val="false"/>
          <w:color w:val="000000"/>
          <w:sz w:val="22"/>
        </w:rPr>
        <w:t xml:space="preserve">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125.3(1)</w:t>
      </w:r>
      <w:r>
        <w:rPr>
          <w:rFonts w:ascii="Times New Roman" w:hAnsi="Times New Roman"/>
          <w:b w:val="false"/>
          <w:i w:val="false"/>
          <w:color w:val="000000"/>
          <w:sz w:val="22"/>
        </w:rPr>
        <w:t> </w:t>
      </w:r>
      <w:r>
        <w:rPr>
          <w:rFonts w:ascii="Times New Roman" w:hAnsi="Times New Roman"/>
          <w:b w:val="false"/>
          <w:i w:val="false"/>
          <w:color w:val="000000"/>
          <w:sz w:val="22"/>
        </w:rPr>
        <w:t>The department will deny the Kinship Foster Care Approval Application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other than a foster child, has been convicted of a crime unless the department has evaluated the crime and concluded that the crime does not merit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other than a foster child, has a record of founded child abuse unless the department has evaluated the founded abuse and concluded that the abuse does not merit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just cause due to a condition or combination of conditions that cannot be improved and prevents the kinship caregiver from caring for the child’s physical, emotional, medical, or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125.3(2)</w:t>
      </w:r>
      <w:r>
        <w:rPr>
          <w:rFonts w:ascii="Times New Roman" w:hAnsi="Times New Roman"/>
          <w:b w:val="false"/>
          <w:i w:val="false"/>
          <w:color w:val="000000"/>
          <w:sz w:val="22"/>
        </w:rPr>
        <w:t> </w:t>
      </w:r>
      <w:r>
        <w:rPr>
          <w:rFonts w:ascii="Times New Roman" w:hAnsi="Times New Roman"/>
          <w:b w:val="false"/>
          <w:i w:val="false"/>
          <w:color w:val="000000"/>
          <w:sz w:val="22"/>
        </w:rPr>
        <w:t>Reapplications shall be denied based on the same criteria as initial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441—125.4</w:t>
      </w:r>
      <w:r>
        <w:rPr>
          <w:rFonts w:ascii="Times New Roman" w:hAnsi="Times New Roman"/>
          <w:b/>
          <w:i w:val="false"/>
          <w:color w:val="000000"/>
          <w:sz w:val="22"/>
        </w:rPr>
        <w:t xml:space="preserve">(237) </w:t>
      </w:r>
      <w:r>
        <w:rPr>
          <w:rFonts w:ascii="Times New Roman" w:hAnsi="Times New Roman"/>
          <w:b/>
          <w:i w:val="false"/>
          <w:color w:val="000000"/>
          <w:sz w:val="22"/>
        </w:rPr>
        <w:t xml:space="preserve">Approval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Applicants for an initial approval to become a kinship foster home shall submit the Kinship Foster Care Approval Application forms directed in rule </w:t>
      </w:r>
      <w:hyperlink r:id="rId10">
        <w:r>
          <w:rPr>
            <w:rStyle w:val="Hyperlink"/>
            <w:rFonts w:ascii="Times New Roman" w:hAnsi="Times New Roman"/>
            <w:b w:val="false"/>
            <w:i w:val="false"/>
            <w:color w:val="000000"/>
            <w:sz w:val="22"/>
          </w:rPr>
          <w:t>441—125.2</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125.4(2)</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 xml:space="preserve">Prior to approval of an application for kinship foster care, applicants shall pass the record check procedures identified in rule </w:t>
      </w:r>
      <w:hyperlink r:id="rId11">
        <w:r>
          <w:rPr>
            <w:rStyle w:val="Hyperlink"/>
            <w:rFonts w:ascii="Times New Roman" w:hAnsi="Times New Roman"/>
            <w:b w:val="false"/>
            <w:i w:val="false"/>
            <w:color w:val="000000"/>
            <w:sz w:val="22"/>
          </w:rPr>
          <w:t>441—125.7</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125.4(3)</w:t>
      </w:r>
      <w:r>
        <w:rPr>
          <w:rFonts w:ascii="Times New Roman" w:hAnsi="Times New Roman"/>
          <w:b w:val="false"/>
          <w:i w:val="false"/>
          <w:color w:val="000000"/>
          <w:sz w:val="22"/>
        </w:rPr>
        <w:t> </w:t>
      </w:r>
      <w:r>
        <w:rPr>
          <w:rFonts w:ascii="Times New Roman" w:hAnsi="Times New Roman"/>
          <w:b w:val="false"/>
          <w:i/>
          <w:color w:val="000000"/>
          <w:sz w:val="22"/>
        </w:rPr>
        <w:t xml:space="preserve">Home study. </w:t>
      </w:r>
      <w:r>
        <w:rPr>
          <w:rFonts w:ascii="Times New Roman" w:hAnsi="Times New Roman"/>
          <w:b w:val="false"/>
          <w:i w:val="false"/>
          <w:color w:val="000000"/>
          <w:sz w:val="22"/>
        </w:rPr>
        <w:t>The recruitment and retention contractor shall complete a kinship foster care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 xml:space="preserve">Information for the home study is gathered primarily through a face-to-face interview with the identified kinship caregiver(s) in the home. Tribal agencies may also be involved in conducting home studies for American Indian and Alaska Native children. </w:t>
      </w:r>
      <w:r>
        <w:rPr>
          <w:rFonts w:ascii="Times New Roman" w:hAnsi="Times New Roman"/>
          <w:b w:val="false"/>
          <w:i w:val="false"/>
          <w:color w:val="000000"/>
          <w:sz w:val="22"/>
        </w:rPr>
        <w:t>42 U.S.C. §671(a)(26)(B)</w:t>
      </w:r>
      <w:r>
        <w:rPr>
          <w:rFonts w:ascii="Times New Roman" w:hAnsi="Times New Roman"/>
          <w:b w:val="false"/>
          <w:i w:val="false"/>
          <w:color w:val="000000"/>
          <w:sz w:val="22"/>
        </w:rPr>
        <w:t xml:space="preserve"> as amended to August 1, 2025, provides that any receiving state must treat any tribal home study report as meeting the requirements imposed by the state for the completion of a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shall hold at least one face-to-face interview with the applicant(s) with one of the interviews taking place in the applicant’s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assessment of the home is required. The contractor shall use a Kinship Foster Care Home Study form to assess the physical structure of the home to verify it is safe for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Caregiver assessment. </w:t>
      </w:r>
      <w:r>
        <w:rPr>
          <w:rFonts w:ascii="Times New Roman" w:hAnsi="Times New Roman"/>
          <w:b w:val="false"/>
          <w:i w:val="false"/>
          <w:color w:val="000000"/>
          <w:sz w:val="22"/>
        </w:rPr>
        <w:t>The kinship caregiver shall be assessed to evaluate the caregiver’s ability to meet the needs of the court-ordered placed child. The assessment will include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ability to provide for the child’s physical, medical, and emotional needs; to respect the child’s ethnic and religious identity; and to support the child’s overall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safety of the child in relation to any animals that live on the applicant’s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Knowledge of the child’s situation, the caregiver’s relationship with the child, the child’s family and knowledge of the child’s situation and department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Agreement to abstain from using physical forms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Understanding of the reasonable and prudent parenting standard and how to successfully apply the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caregiver’s willingness to access resources and additional supports needed for placement stability to meet the needs of their family and the child placed in their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caregiver’s and other household members’ current health status, including current prescription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caregiver’s previous or current challenges with mental health, substance use or both and the potential impact it may have on the caregiver’s ability to care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Assessment of whether previous violence was experienced in the caregiver’s home and how it has been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caregiver’s willingness and ability to ensure the child’s attendance at school; appointments for medical, dental, and vision; activities; and to ensure family interactions with parents and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Assessment of the caregiver’s ability and willingness to commit to the child, to work with the department, and to be considered as a long-term permanency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Understanding of household composition, who has access to the child, other adults and children in the household, relationship status of household members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Description of the caregiver’s available formal and informal supports to ensure child safety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home assessment. </w:t>
      </w:r>
      <w:r>
        <w:rPr>
          <w:rFonts w:ascii="Times New Roman" w:hAnsi="Times New Roman"/>
          <w:b w:val="false"/>
          <w:i w:val="false"/>
          <w:color w:val="000000"/>
          <w:sz w:val="22"/>
        </w:rPr>
        <w:t>The physical home assessment shall assess the following areas of the applicant’s home and address necessary steps to mitigate concerns when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description of the dwelling, including the number of bedrooms, bathrooms, and shared areas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any signs of home infestation by rodents, insects, or other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Existence of external hazards, such as accessibility of pools/hot tubs, nearby bodies of water, railroad tracks, waste materials, or contaminated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Existence of internal hazards that pose a risk of harm created by the physical structure of the home, such as broken or missing stairs, exposed wires, large holes in the floor, broken windows, or other physical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Accessibility of hazardous materials or items in the home or on the property and the means to make them inaccessible to the child in an age-appropriate way or used with appropriate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Evaluation of a child’s access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Firearms and projectile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Strong or toxic chemicals, such as detergents, bleach, and gasoline.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Tools, machinery, farm equipment, lawn mowers, and trampolines.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Evaluation of the sleeping arrangements for children placed in the home,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Planned sharing of sleeping spaces.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children will have privacy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supports are needed to provide beds, bedding, or establish opportunities for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Discussion of safe sleeping practices for children aged one and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Ability to ensure the child’s access to age-appropriate personal hygiene (bathing, brushing teeth, wearing clean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protect the child in an age-appropriate manner from pets or 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Age-appropriate safe seat restraints (car seat, seatbelt, etc.) in personal vehicles used to transport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provide the child ongoing access to adequate, nutritious, age-appropriate food, including the ability to keep perishable items cold.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Understanding of the child’s dietary needs related to cultural/religious traditions, medical needs, and allergies.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plan for fire safety, including an escape plan and smoke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Ability to create a safety plan that includes the ability to contact emergency services for assistance within a reasonable distance (neighbor’s home, local business,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Description of support mechanisms needed for the caregiver to address any barriers to meeting the physical needs of the home to ensure the safety and well-being of the child and steps taken to address the needs during the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recruitment and retention contractor shall prepare a written report of the caregiver assessment. This assessment shall include a recommendation for approval or denial of the application and any other pertinent information in making the recommendation. The home study shall be maintained in the kinship caregiver’s record maintained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125.4(4)</w:t>
      </w:r>
      <w:r>
        <w:rPr>
          <w:rFonts w:ascii="Times New Roman" w:hAnsi="Times New Roman"/>
          <w:b w:val="false"/>
          <w:i w:val="false"/>
          <w:color w:val="000000"/>
          <w:sz w:val="22"/>
        </w:rPr>
        <w:t> </w:t>
      </w:r>
      <w:r>
        <w:rPr>
          <w:rFonts w:ascii="Times New Roman" w:hAnsi="Times New Roman"/>
          <w:b w:val="false"/>
          <w:i/>
          <w:color w:val="000000"/>
          <w:sz w:val="22"/>
        </w:rPr>
        <w:t xml:space="preserve">Decision and notice of action. </w:t>
      </w:r>
      <w:r>
        <w:rPr>
          <w:rFonts w:ascii="Times New Roman" w:hAnsi="Times New Roman"/>
          <w:b w:val="false"/>
          <w:i w:val="false"/>
          <w:color w:val="000000"/>
          <w:sz w:val="22"/>
        </w:rPr>
        <w:t>The department will use the home study and the recommendation of the recruitment and retention contractor to approve or deny a caregiver for kinship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family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does not approve the home study, a notice will be issued according to the provisions of </w:t>
      </w:r>
      <w:hyperlink r:id="rId1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state the reasons for that decision as listed in rule </w:t>
      </w:r>
      <w:hyperlink r:id="rId13">
        <w:r>
          <w:rPr>
            <w:rStyle w:val="Hyperlink"/>
            <w:rFonts w:ascii="Times New Roman" w:hAnsi="Times New Roman"/>
            <w:b w:val="false"/>
            <w:i w:val="false"/>
            <w:color w:val="000000"/>
            <w:sz w:val="22"/>
          </w:rPr>
          <w:t>441—125.3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denial may be appealed pursuant to the provisions set forth in </w:t>
      </w:r>
      <w:hyperlink r:id="rId1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441—125.5</w:t>
      </w:r>
      <w:r>
        <w:rPr>
          <w:rFonts w:ascii="Times New Roman" w:hAnsi="Times New Roman"/>
          <w:b/>
          <w:i w:val="false"/>
          <w:color w:val="000000"/>
          <w:sz w:val="22"/>
        </w:rPr>
        <w:t xml:space="preserve">(237) </w:t>
      </w:r>
      <w:r>
        <w:rPr>
          <w:rFonts w:ascii="Times New Roman" w:hAnsi="Times New Roman"/>
          <w:b/>
          <w:i w:val="false"/>
          <w:color w:val="000000"/>
          <w:sz w:val="22"/>
        </w:rPr>
        <w:t xml:space="preserve">Involvement of kin.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125.5(1)</w:t>
      </w:r>
      <w:r>
        <w:rPr>
          <w:rFonts w:ascii="Times New Roman" w:hAnsi="Times New Roman"/>
          <w:b w:val="false"/>
          <w:i w:val="false"/>
          <w:color w:val="000000"/>
          <w:sz w:val="22"/>
        </w:rPr>
        <w:t> </w:t>
      </w:r>
      <w:r>
        <w:rPr>
          <w:rFonts w:ascii="Times New Roman" w:hAnsi="Times New Roman"/>
          <w:b w:val="false"/>
          <w:i/>
          <w:color w:val="000000"/>
          <w:sz w:val="22"/>
        </w:rPr>
        <w:t xml:space="preserve">Support by kinship foster caregiver. </w:t>
      </w:r>
      <w:r>
        <w:rPr>
          <w:rFonts w:ascii="Times New Roman" w:hAnsi="Times New Roman"/>
          <w:b w:val="false"/>
          <w:i w:val="false"/>
          <w:color w:val="000000"/>
          <w:sz w:val="22"/>
        </w:rPr>
        <w:t xml:space="preserve">Kinship foster caregivers shall support the involvement of biological or adoptive parents and other relatives of the child unless this involvement is evaluated and documented by the department to be detrimental to the child’s well-being.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125.5(2)</w:t>
      </w:r>
      <w:r>
        <w:rPr>
          <w:rFonts w:ascii="Times New Roman" w:hAnsi="Times New Roman"/>
          <w:b w:val="false"/>
          <w:i w:val="false"/>
          <w:color w:val="000000"/>
          <w:sz w:val="22"/>
        </w:rPr>
        <w:t> </w:t>
      </w:r>
      <w:r>
        <w:rPr>
          <w:rFonts w:ascii="Times New Roman" w:hAnsi="Times New Roman"/>
          <w:b w:val="false"/>
          <w:i/>
          <w:color w:val="000000"/>
          <w:sz w:val="22"/>
        </w:rPr>
        <w:t xml:space="preserve">Nature of involvement. </w:t>
      </w:r>
      <w:r>
        <w:rPr>
          <w:rFonts w:ascii="Times New Roman" w:hAnsi="Times New Roman"/>
          <w:b w:val="false"/>
          <w:i w:val="false"/>
          <w:color w:val="000000"/>
          <w:sz w:val="22"/>
        </w:rPr>
        <w:t xml:space="preserve">The extent and nature of the involvement of the biological or adoptive parents and other relatives shall be determined by the caseworker in consultation with the kinship foster caregivers, biological or adoptive parents, and other members involved with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125.5(3)</w:t>
      </w:r>
      <w:r>
        <w:rPr>
          <w:rFonts w:ascii="Times New Roman" w:hAnsi="Times New Roman"/>
          <w:b w:val="false"/>
          <w:i w:val="false"/>
          <w:color w:val="000000"/>
          <w:sz w:val="22"/>
        </w:rPr>
        <w:t> </w:t>
      </w:r>
      <w:r>
        <w:rPr>
          <w:rFonts w:ascii="Times New Roman" w:hAnsi="Times New Roman"/>
          <w:b w:val="false"/>
          <w:i/>
          <w:color w:val="000000"/>
          <w:sz w:val="22"/>
        </w:rPr>
        <w:t xml:space="preserve">Cultural connections. </w:t>
      </w:r>
      <w:r>
        <w:rPr>
          <w:rFonts w:ascii="Times New Roman" w:hAnsi="Times New Roman"/>
          <w:b w:val="false"/>
          <w:i w:val="false"/>
          <w:color w:val="000000"/>
          <w:sz w:val="22"/>
        </w:rPr>
        <w:t xml:space="preserve">Throughout the provision of care, the kinship foster caregiver shall actively ensure that the child stays connected to the child’s kin, culture, and community as required in the child’s case permanency plan.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441—125.6</w:t>
      </w:r>
      <w:r>
        <w:rPr>
          <w:rFonts w:ascii="Times New Roman" w:hAnsi="Times New Roman"/>
          <w:b/>
          <w:i w:val="false"/>
          <w:color w:val="000000"/>
          <w:sz w:val="22"/>
        </w:rPr>
        <w:t xml:space="preserve">(237) </w:t>
      </w:r>
      <w:r>
        <w:rPr>
          <w:rFonts w:ascii="Times New Roman" w:hAnsi="Times New Roman"/>
          <w:b/>
          <w:i w:val="false"/>
          <w:color w:val="000000"/>
          <w:sz w:val="22"/>
        </w:rPr>
        <w:t xml:space="preserve">Information on the child placed in the home.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child. </w:t>
      </w:r>
      <w:r>
        <w:rPr>
          <w:rFonts w:ascii="Times New Roman" w:hAnsi="Times New Roman"/>
          <w:b w:val="false"/>
          <w:i w:val="false"/>
          <w:color w:val="000000"/>
          <w:sz w:val="22"/>
        </w:rPr>
        <w:t xml:space="preserve">Kinship foster caregivers shall maintain a separate file of information on the child placed in the home to include contact information for all medical, dental, vision, hearing and mental health professionals for the child; current medications for the child; school reports and school pictures received; and the date, name, address and phone number of the person to whom the child was discharged at the end of placement. This file shall be provided to the department or the child’s parent or guardian when the child leaves the 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Kinship foster caregivers shall maintain confidentiality regarding the child in their placement, except as required to comply with rules on mandatory reporting of child abuse and with the child’s case permanency plan. Kinship foster caregivers shall not without parent, guardian and department consent post pictures or information concerning the child on any internet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441—125.7</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 checks. </w:t>
      </w:r>
      <w:r>
        <w:rPr>
          <w:rFonts w:ascii="Times New Roman" w:hAnsi="Times New Roman"/>
          <w:b w:val="false"/>
          <w:i w:val="false"/>
          <w:color w:val="000000"/>
          <w:sz w:val="22"/>
        </w:rPr>
        <w:t>Record checks are required for each foster parent applicant and for anyone who is 18 years of age or older living in the home of the applicant. The purpose of the record checks is to determine whether any of these persons has any founded child abuse or dependent adult abuse reports or criminal convictions or has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The department’s contractor for recruitment and retention shall assist applicants in completing required record checks, including 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125.7(2)</w:t>
      </w:r>
      <w:r>
        <w:rPr>
          <w:rFonts w:ascii="Times New Roman" w:hAnsi="Times New Roman"/>
          <w:b w:val="false"/>
          <w:i w:val="false"/>
          <w:color w:val="000000"/>
          <w:sz w:val="22"/>
        </w:rPr>
        <w:t> </w:t>
      </w:r>
      <w:r>
        <w:rPr>
          <w:rFonts w:ascii="Times New Roman" w:hAnsi="Times New Roman"/>
          <w:b w:val="false"/>
          <w:i/>
          <w:color w:val="000000"/>
          <w:sz w:val="22"/>
        </w:rPr>
        <w:t xml:space="preserve">Iowa records. </w:t>
      </w:r>
      <w:r>
        <w:rPr>
          <w:rFonts w:ascii="Times New Roman" w:hAnsi="Times New Roman"/>
          <w:b w:val="false"/>
          <w:i w:val="false"/>
          <w:color w:val="000000"/>
          <w:sz w:val="22"/>
        </w:rPr>
        <w:t>Each applicant and anyone who is 18 years of age or older living in the home of the applicant shall be checked for records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sex offender registry;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Courts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125.7(3)</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Each applicant and any other adult living in the household shall also be checked for records on the child abuse registry of any state where the person has lived during the past five years. Each adult age 18 years of age or older shall also be fingerprinted for a national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125.7(4)</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If the applicant or anyone living in the home has a record of founded child or dependent adult abuse, a criminal conviction, or placement on the sex offender registry, the department will not approve the applicant for kinship foster care unless an evaluation determines that the abuse or criminal conviction does not warrant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125.7(5)</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An evaluation will not be performed if the person has been convicted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felony offense as set forth in Iowa Code section </w:t>
      </w:r>
      <w:hyperlink r:id="rId15">
        <w:r>
          <w:rPr>
            <w:rStyle w:val="Hyperlink"/>
            <w:rFonts w:ascii="Times New Roman" w:hAnsi="Times New Roman"/>
            <w:b w:val="false"/>
            <w:i w:val="false"/>
            <w:color w:val="000000"/>
            <w:sz w:val="22"/>
          </w:rPr>
          <w:t>237.8(2)</w:t>
        </w:r>
      </w:hyperlink>
      <w:r>
        <w:rPr>
          <w:rFonts w:ascii="Times New Roman" w:hAnsi="Times New Roman"/>
          <w:b w:val="false"/>
          <w:i/>
          <w:color w:val="000000"/>
          <w:sz w:val="22"/>
        </w:rPr>
        <w:t>“a”</w:t>
      </w:r>
      <w:r>
        <w:rPr>
          <w:rFonts w:ascii="Times New Roman" w:hAnsi="Times New Roman"/>
          <w:b w:val="false"/>
          <w:i w:val="false"/>
          <w:color w:val="000000"/>
          <w:sz w:val="22"/>
        </w:rPr>
        <w:t>(3);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crime in another state that would be a felony as set forth in Iowa Code section </w:t>
      </w:r>
      <w:hyperlink r:id="rId16">
        <w:r>
          <w:rPr>
            <w:rStyle w:val="Hyperlink"/>
            <w:rFonts w:ascii="Times New Roman" w:hAnsi="Times New Roman"/>
            <w:b w:val="false"/>
            <w:i w:val="false"/>
            <w:color w:val="000000"/>
            <w:sz w:val="22"/>
          </w:rPr>
          <w:t>237.8(2)</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125.7(6)</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evaluation will consider the nature and seriousness of the founded child or dependent adult abuse or crime in relation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position sought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abuse or crime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abuse or crime again;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abuses or crimes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125.7(7)</w:t>
      </w:r>
      <w:r>
        <w:rPr>
          <w:rFonts w:ascii="Times New Roman" w:hAnsi="Times New Roman"/>
          <w:b w:val="false"/>
          <w:i w:val="false"/>
          <w:color w:val="000000"/>
          <w:sz w:val="22"/>
        </w:rPr>
        <w:t> </w:t>
      </w:r>
      <w:r>
        <w:rPr>
          <w:rFonts w:ascii="Times New Roman" w:hAnsi="Times New Roman"/>
          <w:b w:val="false"/>
          <w:i/>
          <w:color w:val="000000"/>
          <w:sz w:val="22"/>
        </w:rPr>
        <w:t xml:space="preserve">Evaluation form. </w:t>
      </w:r>
      <w:r>
        <w:rPr>
          <w:rFonts w:ascii="Times New Roman" w:hAnsi="Times New Roman"/>
          <w:b w:val="false"/>
          <w:i w:val="false"/>
          <w:color w:val="000000"/>
          <w:sz w:val="22"/>
        </w:rPr>
        <w:t>The person with the founded child or dependent adult abuse or criminal conviction report shall complete and return to the department the Record Check Evaluation Form, within ten calendar days of the date of receipt, to be used to assist in the evaluation. Failure of the person to complete and return the Record Check Evaluation Form to the department within the specified time frame shall result in denial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125.7(8)</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 xml:space="preserve">Centralized service area staff or designees will conduct the evaluation and make the decision. The department will inform the subject of the decision and describe the basis of the decision using the criteria specified in subrule </w:t>
      </w:r>
      <w:hyperlink r:id="rId17">
        <w:r>
          <w:rPr>
            <w:rStyle w:val="Hyperlink"/>
            <w:rFonts w:ascii="Times New Roman" w:hAnsi="Times New Roman"/>
            <w:b w:val="false"/>
            <w:i w:val="false"/>
            <w:color w:val="000000"/>
            <w:sz w:val="22"/>
          </w:rPr>
          <w:t>125.7(6)</w:t>
        </w:r>
      </w:hyperlink>
      <w:r>
        <w:rPr>
          <w:rFonts w:ascii="Times New Roman" w:hAnsi="Times New Roman"/>
          <w:b w:val="false"/>
          <w:i w:val="false"/>
          <w:color w:val="000000"/>
          <w:sz w:val="22"/>
        </w:rPr>
        <w:t>. The department will send the form to the person on whom the evaluation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the completed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person whose record is being evaluated fails to complete the evaluation form within the time frame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125.7(9)</w:t>
      </w:r>
      <w:r>
        <w:rPr>
          <w:rFonts w:ascii="Times New Roman" w:hAnsi="Times New Roman"/>
          <w:b w:val="false"/>
          <w:i w:val="false"/>
          <w:color w:val="000000"/>
          <w:sz w:val="22"/>
        </w:rPr>
        <w:t> </w:t>
      </w:r>
      <w:r>
        <w:rPr>
          <w:rFonts w:ascii="Times New Roman" w:hAnsi="Times New Roman"/>
          <w:b w:val="false"/>
          <w:i/>
          <w:color w:val="000000"/>
          <w:sz w:val="22"/>
        </w:rPr>
        <w:t xml:space="preserve">Reapproval. </w:t>
      </w:r>
      <w:r>
        <w:rPr>
          <w:rFonts w:ascii="Times New Roman" w:hAnsi="Times New Roman"/>
          <w:b w:val="false"/>
          <w:i w:val="false"/>
          <w:color w:val="000000"/>
          <w:sz w:val="22"/>
        </w:rPr>
        <w:t xml:space="preserve">Applicants approved for kinship foster care who apply for reapproval shall be subject to the same checks as new applicants, except for fingerprinting. The department will evaluate only abuses and convictions of crimes that occurred since the last record check. The evaluation will be conducted using the same process as described in rule </w:t>
      </w:r>
      <w:hyperlink r:id="rId18">
        <w:r>
          <w:rPr>
            <w:rStyle w:val="Hyperlink"/>
            <w:rFonts w:ascii="Times New Roman" w:hAnsi="Times New Roman"/>
            <w:b w:val="false"/>
            <w:i w:val="false"/>
            <w:color w:val="000000"/>
            <w:sz w:val="22"/>
          </w:rPr>
          <w:t>441—125.7</w:t>
        </w:r>
      </w:hyperlink>
      <w:r>
        <w:rPr>
          <w:rFonts w:ascii="Times New Roman" w:hAnsi="Times New Roman"/>
          <w:b w:val="false"/>
          <w:i w:val="false"/>
          <w:color w:val="000000"/>
          <w:sz w:val="22"/>
        </w:rPr>
        <w:t>(237).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441—125.8</w:t>
      </w:r>
      <w:r>
        <w:rPr>
          <w:rFonts w:ascii="Times New Roman" w:hAnsi="Times New Roman"/>
          <w:b/>
          <w:i w:val="false"/>
          <w:color w:val="000000"/>
          <w:sz w:val="22"/>
        </w:rPr>
        <w:t xml:space="preserve">(237) </w:t>
      </w:r>
      <w:r>
        <w:rPr>
          <w:rFonts w:ascii="Times New Roman" w:hAnsi="Times New Roman"/>
          <w:b/>
          <w:i w:val="false"/>
          <w:color w:val="000000"/>
          <w:sz w:val="22"/>
        </w:rPr>
        <w:t xml:space="preserve">Medical examinations and health care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125.8(1)</w:t>
      </w:r>
      <w:r>
        <w:rPr>
          <w:rFonts w:ascii="Times New Roman" w:hAnsi="Times New Roman"/>
          <w:b w:val="false"/>
          <w:i w:val="false"/>
          <w:color w:val="000000"/>
          <w:sz w:val="22"/>
        </w:rPr>
        <w:t> </w:t>
      </w:r>
      <w:r>
        <w:rPr>
          <w:rFonts w:ascii="Times New Roman" w:hAnsi="Times New Roman"/>
          <w:b w:val="false"/>
          <w:i/>
          <w:color w:val="000000"/>
          <w:sz w:val="22"/>
        </w:rPr>
        <w:t xml:space="preserve">Medical and dental care. </w:t>
      </w:r>
      <w:r>
        <w:rPr>
          <w:rFonts w:ascii="Times New Roman" w:hAnsi="Times New Roman"/>
          <w:b w:val="false"/>
          <w:i w:val="false"/>
          <w:color w:val="000000"/>
          <w:sz w:val="22"/>
        </w:rPr>
        <w:t>Kinship foster caregivers shall keep the child’s department case manager informed of any medical and dental appointments as well as any treatments prescribed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delegate its authority, as custodian, to consent to routine and emergency medical care to a licensed foster parent or approved kinship foster caregiver.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medical care includes but is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care, also known as wellness care, not including the administration of a vaccination. Parents or guardians of the child must provide consent for administration of a vaccination.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Non-emergency medical care, including but not limited to a physical examination, a diagnostic laboratory test, or a medical visit for a minor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Routine dental and vision care, including cleanings and annual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necessary medication, including but not limited to antibiotics. This does not include psychotropic/mental health medications. Parents or guardians of the child must provide consent for the administration of new psychotropic/mental health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routine and emergency medical consent has not been delegated by the department to the approved kinship foster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Kinship foster caregivers shall contact the child’s parents to engage them in the process of accessing routine medical and dental care for their child unless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case of an emergency or urgent situation requiring medical care and treatment of an acute illness, disease or condition of the child, when a delay or inability to access parental or department consent for medical care or treatment would endanger the health or physical well-being of the child, kinship foster caregivers can provide consent for medical care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medical care. </w:t>
      </w:r>
      <w:r>
        <w:rPr>
          <w:rFonts w:ascii="Times New Roman" w:hAnsi="Times New Roman"/>
          <w:b w:val="false"/>
          <w:i w:val="false"/>
          <w:color w:val="000000"/>
          <w:sz w:val="22"/>
        </w:rPr>
        <w:t xml:space="preserve">Nothing in this rule shall be construed to require medical treatment or immunization for a minor child of any person who is a member of a church or religious organization that is against medical treatment for disease.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such instance, an official statement from the organization and a notarized statement from the parents shall be incorporated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potentially life-threatening situations, the child’s care shall be referred to appropriate medical and legal authorities.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441—125.9</w:t>
      </w:r>
      <w:r>
        <w:rPr>
          <w:rFonts w:ascii="Times New Roman" w:hAnsi="Times New Roman"/>
          <w:b/>
          <w:i w:val="false"/>
          <w:color w:val="000000"/>
          <w:sz w:val="22"/>
        </w:rPr>
        <w:t xml:space="preserve">(237) </w:t>
      </w:r>
      <w:r>
        <w:rPr>
          <w:rFonts w:ascii="Times New Roman" w:hAnsi="Times New Roman"/>
          <w:b/>
          <w:i w:val="false"/>
          <w:color w:val="000000"/>
          <w:sz w:val="22"/>
        </w:rPr>
        <w:t xml:space="preserve">Training and discipline of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125.9(1)</w:t>
      </w:r>
      <w:r>
        <w:rPr>
          <w:rFonts w:ascii="Times New Roman" w:hAnsi="Times New Roman"/>
          <w:b w:val="false"/>
          <w:i w:val="false"/>
          <w:color w:val="000000"/>
          <w:sz w:val="22"/>
        </w:rPr>
        <w:t> </w:t>
      </w:r>
      <w:r>
        <w:rPr>
          <w:rFonts w:ascii="Times New Roman" w:hAnsi="Times New Roman"/>
          <w:b w:val="false"/>
          <w:i/>
          <w:color w:val="000000"/>
          <w:sz w:val="22"/>
        </w:rPr>
        <w:t xml:space="preserve">Methods of training and discipline. </w:t>
      </w:r>
      <w:r>
        <w:rPr>
          <w:rFonts w:ascii="Times New Roman" w:hAnsi="Times New Roman"/>
          <w:b w:val="false"/>
          <w:i w:val="false"/>
          <w:color w:val="000000"/>
          <w:sz w:val="22"/>
        </w:rPr>
        <w:t>The home study evaluation of each applicant shall include a discussion and a written assessment of the kinship foster caregivers’ methods of training and discipline. Discipline shall be designed to help the child develop self-control, self-esteem, and respect for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125.9(2)</w:t>
      </w:r>
      <w:r>
        <w:rPr>
          <w:rFonts w:ascii="Times New Roman" w:hAnsi="Times New Roman"/>
          <w:b w:val="false"/>
          <w:i w:val="false"/>
          <w:color w:val="000000"/>
          <w:sz w:val="22"/>
        </w:rPr>
        <w:t> </w:t>
      </w:r>
      <w:r>
        <w:rPr>
          <w:rFonts w:ascii="Times New Roman" w:hAnsi="Times New Roman"/>
          <w:b w:val="false"/>
          <w:i/>
          <w:color w:val="000000"/>
          <w:sz w:val="22"/>
        </w:rPr>
        <w:t xml:space="preserve">Reports of mistreatment. </w:t>
      </w:r>
      <w:r>
        <w:rPr>
          <w:rFonts w:ascii="Times New Roman" w:hAnsi="Times New Roman"/>
          <w:b w:val="false"/>
          <w:i w:val="false"/>
          <w:color w:val="000000"/>
          <w:sz w:val="22"/>
        </w:rPr>
        <w:t>Reports of mistreatment coming to the attention of the department and the caseworker for the child will be investigated by the department promptly and referred to the proper authorities when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441—125.10</w:t>
      </w:r>
      <w:r>
        <w:rPr>
          <w:rFonts w:ascii="Times New Roman" w:hAnsi="Times New Roman"/>
          <w:b/>
          <w:i w:val="false"/>
          <w:color w:val="000000"/>
          <w:sz w:val="22"/>
        </w:rPr>
        <w:t xml:space="preserve">(237) </w:t>
      </w:r>
      <w:r>
        <w:rPr>
          <w:rFonts w:ascii="Times New Roman" w:hAnsi="Times New Roman"/>
          <w:b/>
          <w:i w:val="false"/>
          <w:color w:val="000000"/>
          <w:sz w:val="22"/>
        </w:rPr>
        <w:t xml:space="preserve">Emergency care and release of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125.10(1)</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arrangements for emergency care. </w:t>
      </w:r>
      <w:r>
        <w:rPr>
          <w:rFonts w:ascii="Times New Roman" w:hAnsi="Times New Roman"/>
          <w:b w:val="false"/>
          <w:i w:val="false"/>
          <w:color w:val="000000"/>
          <w:sz w:val="22"/>
        </w:rPr>
        <w:t>Kinship foster caregivers shall provide supervision of the child in preadoptive placement as dictated by the individual child’s specific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 of emergency requiring the kinship foster caregiver’s temporary absence from the home, arrangements shall be made with designated, responsible persons for the care of the child during the period of absence.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of all emergency absences of the kinship foster caregivers.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125.10(2)</w:t>
      </w:r>
      <w:r>
        <w:rPr>
          <w:rFonts w:ascii="Times New Roman" w:hAnsi="Times New Roman"/>
          <w:b w:val="false"/>
          <w:i w:val="false"/>
          <w:color w:val="000000"/>
          <w:sz w:val="22"/>
        </w:rPr>
        <w:t> </w:t>
      </w:r>
      <w:r>
        <w:rPr>
          <w:rFonts w:ascii="Times New Roman" w:hAnsi="Times New Roman"/>
          <w:b w:val="false"/>
          <w:i/>
          <w:color w:val="000000"/>
          <w:sz w:val="22"/>
        </w:rPr>
        <w:t xml:space="preserve">Release of child. </w:t>
      </w:r>
      <w:r>
        <w:rPr>
          <w:rFonts w:ascii="Times New Roman" w:hAnsi="Times New Roman"/>
          <w:b w:val="false"/>
          <w:i w:val="false"/>
          <w:color w:val="000000"/>
          <w:sz w:val="22"/>
        </w:rPr>
        <w:t>The kinship foster caregivers shall release the child only to the agency, a parent or guardian from whom the child was received for care, or the person specifically designated by the agency,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441—125.11</w:t>
      </w:r>
      <w:r>
        <w:rPr>
          <w:rFonts w:ascii="Times New Roman" w:hAnsi="Times New Roman"/>
          <w:b/>
          <w:i w:val="false"/>
          <w:color w:val="000000"/>
          <w:sz w:val="22"/>
        </w:rPr>
        <w:t xml:space="preserve">(237) </w:t>
      </w:r>
      <w:r>
        <w:rPr>
          <w:rFonts w:ascii="Times New Roman" w:hAnsi="Times New Roman"/>
          <w:b/>
          <w:i w:val="false"/>
          <w:color w:val="000000"/>
          <w:sz w:val="22"/>
        </w:rPr>
        <w:t xml:space="preserve">Changes in kinship foster care home. </w:t>
      </w:r>
      <w:r>
        <w:rPr>
          <w:rFonts w:ascii="Times New Roman" w:hAnsi="Times New Roman"/>
          <w:b w:val="false"/>
          <w:i w:val="false"/>
          <w:color w:val="000000"/>
          <w:sz w:val="22"/>
        </w:rPr>
        <w:t>Kinship foster caregivers shall notify the department and the recruitment and retention contractor within 30 working days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change in the persons living in the home (except for the child placed in the home);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move to a new home;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circumstances in the home that could negatively affect the health, safety or welfare of the child in the family’s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441—125.12</w:t>
      </w:r>
      <w:r>
        <w:rPr>
          <w:rFonts w:ascii="Times New Roman" w:hAnsi="Times New Roman"/>
          <w:b/>
          <w:i w:val="false"/>
          <w:color w:val="000000"/>
          <w:sz w:val="22"/>
        </w:rPr>
        <w:t xml:space="preserve">(237) </w:t>
      </w:r>
      <w:r>
        <w:rPr>
          <w:rFonts w:ascii="Times New Roman" w:hAnsi="Times New Roman"/>
          <w:b/>
          <w:i w:val="false"/>
          <w:color w:val="000000"/>
          <w:sz w:val="22"/>
        </w:rPr>
        <w:t xml:space="preserve">Liability. </w:t>
      </w:r>
      <w:r>
        <w:rPr>
          <w:rFonts w:ascii="Times New Roman" w:hAnsi="Times New Roman"/>
          <w:b w:val="false"/>
          <w:i w:val="false"/>
          <w:color w:val="000000"/>
          <w:sz w:val="22"/>
        </w:rPr>
        <w:t>Kinship foster caregivers who apply the reasonable and prudent parent standard reasonably and in good faith in regard to the child(ren) placed in their home shall have immunity from civil or criminal liability that might otherwise be incurred or imposed. This rule shall not remove or limit any existing liability protection afforded under any other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0110D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and section </w:t>
      </w:r>
      <w:hyperlink r:id="rId20">
        <w:r>
          <w:rPr>
            <w:rStyle w:val="Hyperlink"/>
            <w:rFonts w:ascii="Times New Roman" w:hAnsi="Times New Roman"/>
            <w:b w:val="false"/>
            <w:i w:val="false"/>
            <w:color w:val="000000"/>
            <w:sz w:val="22"/>
          </w:rPr>
          <w:t>234.40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0110D</w:t>
      </w:r>
      <w:r>
        <w:rPr>
          <w:rFonts w:ascii="Times New Roman" w:hAnsi="Times New Roman"/>
          <w:b w:val="false"/>
          <w:i w:val="false"/>
          <w:color w:val="000000"/>
          <w:sz w:val="21"/>
        </w:rPr>
        <w:t xml:space="preserve"> (Notice ARC 9846C, IAB 12/24/25)</w:t>
      </w:r>
      <w:r>
        <w:rPr>
          <w:rFonts w:ascii="Times New Roman" w:hAnsi="Times New Roman"/>
          <w:b w:val="false"/>
          <w:i w:val="false"/>
          <w:color w:val="000000"/>
          <w:sz w:val="21"/>
        </w:rPr>
        <w:t>, IAB 3/4/26, effective 5/1/26]</w:t>
      </w:r>
    </w:p>
    <w:p>
      <w:pPr>
        <w:spacing w:before="0" w:after="0"/>
        <w:ind w:left="120"/>
        <w:jc w:val="center"/>
      </w:pPr>
      <w:r>
        <w:rPr>
          <w:rFonts w:ascii="Times New Roman" w:hAnsi="Times New Roman"/>
          <w:b w:val="false"/>
          <w:i w:val="false"/>
          <w:color w:val="000000"/>
          <w:sz w:val="21"/>
        </w:rPr>
        <w:t>[Editorial change: IAC Supplement 6/10/26]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1.pdf" Type="http://schemas.openxmlformats.org/officeDocument/2006/relationships/hyperlink" Id="rId5"/>
    <Relationship TargetMode="External" Target="https://www.legis.iowa.gov/docs/iac/rule/441.125.2.pdf" Type="http://schemas.openxmlformats.org/officeDocument/2006/relationships/hyperlink" Id="rId6"/>
    <Relationship TargetMode="External" Target="https://www.legis.iowa.gov/docs/iac/rule/441.125.3.pdf" Type="http://schemas.openxmlformats.org/officeDocument/2006/relationships/hyperlink" Id="rId7"/>
    <Relationship TargetMode="External" Target="https://www.legis.iowa.gov/docs/iac/rule/441.125.4.pdf" Type="http://schemas.openxmlformats.org/officeDocument/2006/relationships/hyperlink" Id="rId8"/>
    <Relationship TargetMode="External" Target="https://www.legis.iowa.gov/docs/iac/rule/441.125.2.pdf" Type="http://schemas.openxmlformats.org/officeDocument/2006/relationships/hyperlink" Id="rId9"/>
    <Relationship TargetMode="External" Target="https://www.legis.iowa.gov/docs/iac/rule/441.125.2.pdf" Type="http://schemas.openxmlformats.org/officeDocument/2006/relationships/hyperlink" Id="rId10"/>
    <Relationship TargetMode="External" Target="https://www.legis.iowa.gov/docs/iac/rule/441.125.7.pdf" Type="http://schemas.openxmlformats.org/officeDocument/2006/relationships/hyperlink" Id="rId11"/>
    <Relationship TargetMode="External" Target="https://www.legis.iowa.gov/docs/iac/chapter/441.16.pdf" Type="http://schemas.openxmlformats.org/officeDocument/2006/relationships/hyperlink" Id="rId12"/>
    <Relationship TargetMode="External" Target="https://www.legis.iowa.gov/docs/iac/rule/441.125.3.pdf" Type="http://schemas.openxmlformats.org/officeDocument/2006/relationships/hyperlink" Id="rId13"/>
    <Relationship TargetMode="External" Target="https://www.legis.iowa.gov/docs/iac/chapter/441.2506.pdf" Type="http://schemas.openxmlformats.org/officeDocument/2006/relationships/hyperlink" Id="rId14"/>
    <Relationship TargetMode="External" Target="https://www.legis.iowa.gov/docs/ico/chapter/237.8.pdf" Type="http://schemas.openxmlformats.org/officeDocument/2006/relationships/hyperlink" Id="rId15"/>
    <Relationship TargetMode="External" Target="https://www.legis.iowa.gov/docs/ico/chapter/237.8.pdf" Type="http://schemas.openxmlformats.org/officeDocument/2006/relationships/hyperlink" Id="rId16"/>
    <Relationship TargetMode="External" Target="https://www.legis.iowa.gov/docs/iac/rule/441.125.7.pdf" Type="http://schemas.openxmlformats.org/officeDocument/2006/relationships/hyperlink" Id="rId17"/>
    <Relationship TargetMode="External" Target="https://www.legis.iowa.gov/docs/iac/rule/441.125.7.pdf" Type="http://schemas.openxmlformats.org/officeDocument/2006/relationships/hyperlink" Id="rId18"/>
    <Relationship TargetMode="External" Target="https://www.legis.iowa.gov/docs/ico/chapter/237.pdf" Type="http://schemas.openxmlformats.org/officeDocument/2006/relationships/hyperlink" Id="rId19"/>
    <Relationship TargetMode="External" Target="https://www.legis.iowa.gov/docs/ico/chapter/234.40.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