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4 on Windows 11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124</w:t>
      </w:r>
    </w:p>
    <w:p>
      <w:pPr>
        <w:spacing w:before="0" w:after="0"/>
        <w:ind w:left="120"/>
        <w:jc w:val="center"/>
      </w:pPr>
      <w:r>
        <w:rPr>
          <w:rFonts w:ascii="Times New Roman" w:hAnsi="Times New Roman"/>
          <w:b w:val="false"/>
          <w:i w:val="false"/>
          <w:color w:val="000000"/>
          <w:sz w:val="21"/>
        </w:rPr>
        <w:t>STANDARDS FOR CERTIFICATE OF NEED REVIEW</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441—124.1</w:t>
      </w:r>
      <w:r>
        <w:rPr>
          <w:rFonts w:ascii="Times New Roman" w:hAnsi="Times New Roman"/>
          <w:b/>
          <w:i w:val="false"/>
          <w:color w:val="000000"/>
          <w:sz w:val="22"/>
        </w:rPr>
        <w:t xml:space="preserve">(135) </w:t>
      </w:r>
      <w:r>
        <w:rPr>
          <w:rFonts w:ascii="Times New Roman" w:hAnsi="Times New Roman"/>
          <w:b/>
          <w:i w:val="false"/>
          <w:color w:val="000000"/>
          <w:sz w:val="22"/>
        </w:rPr>
        <w:t xml:space="preserve">Cardiac catheterization and cardiovascular surgery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standards are measures of some of those criteria found in Iowa Code section </w:t>
      </w:r>
      <w:hyperlink r:id="rId5">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“q”</w:t>
      </w:r>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135.63(3)</w:t>
        </w:r>
      </w:hyperlink>
      <w:r>
        <w:rPr>
          <w:rFonts w:ascii="Times New Roman" w:hAnsi="Times New Roman"/>
          <w:b w:val="false"/>
          <w:i w:val="false"/>
          <w:color w:val="000000"/>
          <w:sz w:val="22"/>
        </w:rPr>
        <w:t>.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cardiac catheterization and cardiovascular surgery standards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Proposals to commence or expand capacity to perform cardiac catheterization.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Proposals to add new or replace cardiovascular surgery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applications that relate to cardiac catheterization or cardiovascular surgery.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the terms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 cardiac catheterization laboratory”</w:t>
      </w:r>
      <w:r>
        <w:rPr>
          <w:rFonts w:ascii="Times New Roman" w:hAnsi="Times New Roman"/>
          <w:b w:val="false"/>
          <w:i w:val="false"/>
          <w:color w:val="000000"/>
          <w:sz w:val="22"/>
        </w:rPr>
        <w:t> </w:t>
      </w:r>
      <w:r>
        <w:rPr>
          <w:rFonts w:ascii="Times New Roman" w:hAnsi="Times New Roman"/>
          <w:b w:val="false"/>
          <w:i w:val="false"/>
          <w:color w:val="000000"/>
          <w:sz w:val="22"/>
        </w:rPr>
        <w:t>means a diagnostic facility exclusively for intracardiac or coronary artery catheterization on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 cardiovascular surgery”</w:t>
      </w:r>
      <w:r>
        <w:rPr>
          <w:rFonts w:ascii="Times New Roman" w:hAnsi="Times New Roman"/>
          <w:b w:val="false"/>
          <w:i w:val="false"/>
          <w:color w:val="000000"/>
          <w:sz w:val="22"/>
        </w:rPr>
        <w:t> </w:t>
      </w:r>
      <w:r>
        <w:rPr>
          <w:rFonts w:ascii="Times New Roman" w:hAnsi="Times New Roman"/>
          <w:b w:val="false"/>
          <w:i w:val="false"/>
          <w:color w:val="000000"/>
          <w:sz w:val="22"/>
        </w:rPr>
        <w:t>means cardiovascular surgery exclusively for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“Angiocardiography”</w:t>
      </w:r>
      <w:r>
        <w:rPr>
          <w:rFonts w:ascii="Times New Roman" w:hAnsi="Times New Roman"/>
          <w:b w:val="false"/>
          <w:i w:val="false"/>
          <w:color w:val="000000"/>
          <w:sz w:val="22"/>
        </w:rPr>
        <w:t> </w:t>
      </w:r>
      <w:r>
        <w:rPr>
          <w:rFonts w:ascii="Times New Roman" w:hAnsi="Times New Roman"/>
          <w:b w:val="false"/>
          <w:i w:val="false"/>
          <w:color w:val="000000"/>
          <w:sz w:val="22"/>
        </w:rPr>
        <w:t>means the recording of moving X-ray images (fluoroscopic images) of the heart and great vessels. After injection of radiopaque chemicals, moving X-rays of the chemical’s flow are projected on a screen called a fluoroscope. Moving pictures (cineangiocardiography) or still pictures in sequence (serialography) may be recorded of the X-ray 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“Angiography”</w:t>
      </w:r>
      <w:r>
        <w:rPr>
          <w:rFonts w:ascii="Times New Roman" w:hAnsi="Times New Roman"/>
          <w:b w:val="false"/>
          <w:i w:val="false"/>
          <w:color w:val="000000"/>
          <w:sz w:val="22"/>
        </w:rPr>
        <w:t> </w:t>
      </w:r>
      <w:r>
        <w:rPr>
          <w:rFonts w:ascii="Times New Roman" w:hAnsi="Times New Roman"/>
          <w:b w:val="false"/>
          <w:i w:val="false"/>
          <w:color w:val="000000"/>
          <w:sz w:val="22"/>
        </w:rPr>
        <w:t>means the photographic recording of X-ray or radiologic images of blood vessels in any part of the body—the heart, the head, the great vessels, the kidney, etc. In the procedure, blood vessels are injected with a radiopaque chemical. Immediately following injection, X-rays are employed to image the path of the injected chemical. These X-ray images are then photographically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“Cardiovascular surgery”</w:t>
      </w:r>
      <w:r>
        <w:rPr>
          <w:rFonts w:ascii="Times New Roman" w:hAnsi="Times New Roman"/>
          <w:b w:val="false"/>
          <w:i w:val="false"/>
          <w:color w:val="000000"/>
          <w:sz w:val="22"/>
        </w:rPr>
        <w:t> </w:t>
      </w:r>
      <w:r>
        <w:rPr>
          <w:rFonts w:ascii="Times New Roman" w:hAnsi="Times New Roman"/>
          <w:b w:val="false"/>
          <w:i w:val="false"/>
          <w:color w:val="000000"/>
          <w:sz w:val="22"/>
        </w:rPr>
        <w:t>means the services associated with and surgery performed for congenital or acquired diseases of the heart, great vessels, or pericardium, including the placement of transvenous and epicardial pacemakers.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“Closed heart surgery”</w:t>
      </w:r>
      <w:r>
        <w:rPr>
          <w:rFonts w:ascii="Times New Roman" w:hAnsi="Times New Roman"/>
          <w:b w:val="false"/>
          <w:i w:val="false"/>
          <w:color w:val="000000"/>
          <w:sz w:val="22"/>
        </w:rPr>
        <w:t> </w:t>
      </w:r>
      <w:r>
        <w:rPr>
          <w:rFonts w:ascii="Times New Roman" w:hAnsi="Times New Roman"/>
          <w:b w:val="false"/>
          <w:i w:val="false"/>
          <w:color w:val="000000"/>
          <w:sz w:val="22"/>
        </w:rPr>
        <w:t>means cardiovascular surgery in which a small incision and repairs are made without direct vision of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“Coronary artery catheterization”</w:t>
      </w:r>
      <w:r>
        <w:rPr>
          <w:rFonts w:ascii="Times New Roman" w:hAnsi="Times New Roman"/>
          <w:b w:val="false"/>
          <w:i w:val="false"/>
          <w:color w:val="000000"/>
          <w:sz w:val="22"/>
        </w:rPr>
        <w:t> </w:t>
      </w:r>
      <w:r>
        <w:rPr>
          <w:rFonts w:ascii="Times New Roman" w:hAnsi="Times New Roman"/>
          <w:b w:val="false"/>
          <w:i w:val="false"/>
          <w:color w:val="000000"/>
          <w:sz w:val="22"/>
        </w:rPr>
        <w:t>means a diagnostic study of the coronary arteries in which a small catheter passes through an artery in the leg, neck or arm into a coronary artery orifice. Intravascular pressure measurements are taken, and angiography of the coronary arteries is performed. Catheterization and cineangiocardiography of the left ventricle are an integral part of this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“Coronary artery surgery”</w:t>
      </w:r>
      <w:r>
        <w:rPr>
          <w:rFonts w:ascii="Times New Roman" w:hAnsi="Times New Roman"/>
          <w:b w:val="false"/>
          <w:i w:val="false"/>
          <w:color w:val="000000"/>
          <w:sz w:val="22"/>
        </w:rPr>
        <w:t> </w:t>
      </w:r>
      <w:r>
        <w:rPr>
          <w:rFonts w:ascii="Times New Roman" w:hAnsi="Times New Roman"/>
          <w:b w:val="false"/>
          <w:i w:val="false"/>
          <w:color w:val="000000"/>
          <w:sz w:val="22"/>
        </w:rPr>
        <w:t>means surgery to correct inadequate blood flow to the heart using revascularization techniques to bypass significantly obstructed coronary artery lesions.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“Intracardiac”</w:t>
      </w:r>
      <w:r>
        <w:rPr>
          <w:rFonts w:ascii="Times New Roman" w:hAnsi="Times New Roman"/>
          <w:b w:val="false"/>
          <w:i w:val="false"/>
          <w:color w:val="000000"/>
          <w:sz w:val="22"/>
        </w:rPr>
        <w:t> </w:t>
      </w:r>
      <w:r>
        <w:rPr>
          <w:rFonts w:ascii="Times New Roman" w:hAnsi="Times New Roman"/>
          <w:b w:val="false"/>
          <w:i w:val="false"/>
          <w:color w:val="000000"/>
          <w:sz w:val="22"/>
        </w:rPr>
        <w:t>means a diagnostic study of the heart, pulmonary arteries, or both in which a small catheter passes through a vein or artery in the neck, leg or arm and advances into the great vessels, the heart or the pulmonary arteries. Through this procedure, one can measure pressure within the heart and in adjacent veins and arteries, collect blood samples for blood gas analysis and inject radiopaque material, and visualize cardiac and vessel anatomy. The procedure permits detection of congenital and acquired heart abnormalities, the study of ventricular function, the estimation of the orifice size, the placement of pacemakers, etc. Cardiac catheterization is incomplete without cineangiography, intracardiac pressure measurements, blood gas analysis and the ability to diagnose intracardiac shunts.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heart surgery”</w:t>
      </w:r>
      <w:r>
        <w:rPr>
          <w:rFonts w:ascii="Times New Roman" w:hAnsi="Times New Roman"/>
          <w:b w:val="false"/>
          <w:i w:val="false"/>
          <w:color w:val="000000"/>
          <w:sz w:val="22"/>
        </w:rPr>
        <w:t> </w:t>
      </w:r>
      <w:r>
        <w:rPr>
          <w:rFonts w:ascii="Times New Roman" w:hAnsi="Times New Roman"/>
          <w:b w:val="false"/>
          <w:i w:val="false"/>
          <w:color w:val="000000"/>
          <w:sz w:val="22"/>
        </w:rPr>
        <w:t>means cardiovascular surgery in which an incision of sufficient size is made to allow direct vision of the area. Open heart surgery requires temporary use of a heart-lung (cardiopulmonary bypass) machine since blood flow through the heart is greatly reduced or stopped altogether.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“Pediatric cardiac catheterization laboratory”</w:t>
      </w:r>
      <w:r>
        <w:rPr>
          <w:rFonts w:ascii="Times New Roman" w:hAnsi="Times New Roman"/>
          <w:b w:val="false"/>
          <w:i w:val="false"/>
          <w:color w:val="000000"/>
          <w:sz w:val="22"/>
        </w:rPr>
        <w:t> </w:t>
      </w:r>
      <w:r>
        <w:rPr>
          <w:rFonts w:ascii="Times New Roman" w:hAnsi="Times New Roman"/>
          <w:b w:val="false"/>
          <w:i w:val="false"/>
          <w:color w:val="000000"/>
          <w:sz w:val="22"/>
        </w:rPr>
        <w:t>means the same as adult cardiac catheterization laboratory, except exclusively for children and infants.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“Pediatric cardiovascular surgery”</w:t>
      </w:r>
      <w:r>
        <w:rPr>
          <w:rFonts w:ascii="Times New Roman" w:hAnsi="Times New Roman"/>
          <w:b w:val="false"/>
          <w:i w:val="false"/>
          <w:color w:val="000000"/>
          <w:sz w:val="22"/>
        </w:rPr>
        <w:t> </w:t>
      </w:r>
      <w:r>
        <w:rPr>
          <w:rFonts w:ascii="Times New Roman" w:hAnsi="Times New Roman"/>
          <w:b w:val="false"/>
          <w:i w:val="false"/>
          <w:color w:val="000000"/>
          <w:sz w:val="22"/>
        </w:rPr>
        <w:t>means cardiovascular surgery exclusively for infants and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124.1(3)</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Minimum utilization—cardiovascular surgery (Iowa Code section </w:t>
      </w:r>
      <w:hyperlink r:id="rId7">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Adult cardiovascular surgical programs should project an annual minimum rate of over 200, or no approval will be granted. Higher case loads over 200 per annum are encouraged.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Pediatric cardiovascular surgical units should project a minimum of 100 pediatric heart operations after the first year, at least 75 of which must be open heart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Combined adult and pediatric cardiovascular surgery units should project the minimum projected annual rates for both adult and pediatric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applicant should project utilization of cardiovascular surgery, catheterization and cardiac care units based upon service area population demographics, current regional or national utilization rates of the service, disease incidence and prevalence rates, current cardiac care treatment modes, and in consideration of those adult cardiovascular surgery units currently operating in Iowa and bordering states within the project’s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Expansions—cardiovascular surgery (Iowa Code section </w:t>
      </w:r>
      <w:hyperlink r:id="rId8">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should be no additional adult cardiovascular surgery units initiated unless each existing unit within the project’s service area is operating at a minimum of 200 open heart surgery cases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should be no additional pediatric cardiovascular surgery units initiated unless each existing unit within the project’s service area is operating at 100 surgeries per year. If one team serves more than one institution, the numbers for those institutions should be combined.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annual utilization of the other cardiovascular surgery units within the area is below the levels noted above, future utilization above that current level must be reasonably projected or reasons for permanently utilizing the equipment below the level must be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applicant will demonstrate that an attempt was made to determine with the cooperation of existing providers whether such a reduction would occur. Existing providers of consequence are generally within two hours’ surface travel time for adult services and within three hours’ surface travel time for pediatric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Minimum utilization—cardiac catheterization (Iowa Code section </w:t>
      </w:r>
      <w:hyperlink r:id="rId9">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Adult cardiac catheterization laboratories should be projected to operate at a minimum of 300 catheterizations per annum.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Pediatric catheterization laboratory units should project a minimum of 150 catheterizations per annum.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Combined units should meet each of the adult and pediatric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applicant should project utilization of cardiac catheterization units based upon service area population demographics, current regional or national utilization rates of the service, disease incidence and prevalence rates, current cardiac care treatment modes, and in consideration of those adult cardiovascular surgery units currently operating in Iowa and bordering states within the project’s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Expansions—cardiac catheterizations (Iowa Code section </w:t>
      </w:r>
      <w:hyperlink r:id="rId10">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should be no additional adult cardiac catheterization unit opened unless the number of studies per year in each existing unit within the project’s service area is greater than 300. No additional pediatric unit should be opened unless the number of studies per year in each existing unit within the project’s services area is greater than 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annual utilization of the other cardiovascular surgery units within the area is below the levels noted above, future utilization above that current level must be reasonably projected or reasons for permanently utilizing the equipment below the level must be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must demonstrate that an attempt was made to determine with the cooperation of existing providers whether such a reduction would occur. Existing providers of consequence are those within two hours’ surface travel time for adults or three hours’ surface travel time for pediatrics.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124.1(4)</w:t>
      </w:r>
      <w:r>
        <w:rPr>
          <w:rFonts w:ascii="Times New Roman" w:hAnsi="Times New Roman"/>
          <w:b w:val="false"/>
          <w:i w:val="false"/>
          <w:color w:val="000000"/>
          <w:sz w:val="22"/>
        </w:rPr>
        <w:t> </w:t>
      </w:r>
      <w:r>
        <w:rPr>
          <w:rFonts w:ascii="Times New Roman" w:hAnsi="Times New Roman"/>
          <w:b w:val="false"/>
          <w:i/>
          <w:color w:val="000000"/>
          <w:sz w:val="22"/>
        </w:rPr>
        <w:t xml:space="preserve">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Financial feasibility. </w:t>
      </w:r>
      <w:r>
        <w:rPr>
          <w:rFonts w:ascii="Times New Roman" w:hAnsi="Times New Roman"/>
          <w:b w:val="false"/>
          <w:i w:val="false"/>
          <w:color w:val="000000"/>
          <w:sz w:val="22"/>
        </w:rPr>
        <w:t xml:space="preserve">(Iowa Code section </w:t>
      </w:r>
      <w:hyperlink r:id="rId11">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“p”</w:t>
      </w:r>
      <w:r>
        <w:rPr>
          <w:rFonts w:ascii="Times New Roman" w:hAnsi="Times New Roman"/>
          <w:b w:val="false"/>
          <w:i w:val="false"/>
          <w:color w:val="000000"/>
          <w:sz w:val="22"/>
        </w:rPr>
        <w:t>) Cardiovascular surgery and catheterization equipment and associated remodeling or construction should be depreciated over a period consistent with generally accepted accounting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Cost-effectiveness. </w:t>
      </w:r>
      <w:r>
        <w:rPr>
          <w:rFonts w:ascii="Times New Roman" w:hAnsi="Times New Roman"/>
          <w:b w:val="false"/>
          <w:i w:val="false"/>
          <w:color w:val="000000"/>
          <w:sz w:val="22"/>
        </w:rPr>
        <w:t>Proposed new or replacement cardiac catheterization laboratories cost per catheterization and cardiovascular surgery services estimated costs per surgery should, when compared to their peers, demonstrate cost-effectiveness.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 xml:space="preserve">(Iowa Code section </w:t>
      </w:r>
      <w:hyperlink r:id="rId12">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Cardiovascular surgery units and cardiac catheterization labs should meet the needs of the communities that the units and labs are meant to 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Cardiac catheterization and cardiovascular surgery service should be provided regardless of ability to pay in consideration of those programs available in the state that serve the medically indigent.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124.1(6)</w:t>
      </w:r>
      <w:r>
        <w:rPr>
          <w:rFonts w:ascii="Times New Roman" w:hAnsi="Times New Roman"/>
          <w:b w:val="false"/>
          <w:i w:val="false"/>
          <w:color w:val="000000"/>
          <w:sz w:val="22"/>
        </w:rPr>
        <w:t> </w:t>
      </w:r>
      <w:r>
        <w:rPr>
          <w:rFonts w:ascii="Times New Roman" w:hAnsi="Times New Roman"/>
          <w:b w:val="false"/>
          <w:i/>
          <w:color w:val="000000"/>
          <w:sz w:val="22"/>
        </w:rPr>
        <w:t xml:space="preserve">Quality. </w:t>
      </w:r>
      <w:r>
        <w:rPr>
          <w:rFonts w:ascii="Times New Roman" w:hAnsi="Times New Roman"/>
          <w:b w:val="false"/>
          <w:i w:val="false"/>
          <w:color w:val="000000"/>
          <w:sz w:val="22"/>
        </w:rPr>
        <w:t xml:space="preserve">(Iowa Code section </w:t>
      </w:r>
      <w:hyperlink r:id="rId13">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surgery unit and cardiac catheterization lab shall demonstrate a reasonable set of criteria that are used in selecting appropriate candidates for surgery and catheterization.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Staffing minimums.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open heart surgery team should minimally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two certified or board-eligible cardiovascular surgeons for the first 75 to 130 pediatric open heart surgeries. If pediatric surgery is performed, one surgeon must have special training and experience in surgery for congenital cardiac defects.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Board-certified or board-eligible adult or pediatric cardiologist(s). The latter only if pediatric surgery is performed, the former only if adult surgery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Board-certified or board-eligible anesthesiologist with special training in the management of cardiovascular cases’ respiratory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Radiologist trained in the cardiovascular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Pathologist familiar with cardiac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Surgical nursing staff specially trained in heart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Cardiopulmonary bypass pump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ancillary staff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applicant will document that the proposed surgery unit can be so staffed when completed and operational.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Equipment and facilities. An applicant seeking to provide cardiovascular surgery should demonstrate that the following support services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X-ray diagnostic facilities and facilities for emergency X-rays on a 24-hour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cardiac catheterization laboratory or angiography lab available on a 24-hour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cardiographics laboratory with facilities for recording the following tests: EKG, vector cardiogram, phonocardiogram, echocardiogram, and exercise stress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supporting blood bank and hematology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microbiology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Cardiac catheterization labs serving infants and children should have biplane angiographic equipment, either cineangiocardiographic or cut film. Pediatric cardiac catheterization labs should be supervised by board-certified or board-eligible pediatric cardiologists; adult cardiac catheterization labs should be supervised by a board-certified or board-eligible adult cardiologist.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124.1(7)</w:t>
      </w:r>
      <w:r>
        <w:rPr>
          <w:rFonts w:ascii="Times New Roman" w:hAnsi="Times New Roman"/>
          <w:b w:val="false"/>
          <w:i w:val="false"/>
          <w:color w:val="000000"/>
          <w:sz w:val="22"/>
        </w:rPr>
        <w:t> </w:t>
      </w:r>
      <w:r>
        <w:rPr>
          <w:rFonts w:ascii="Times New Roman" w:hAnsi="Times New Roman"/>
          <w:b w:val="false"/>
          <w:i/>
          <w:color w:val="000000"/>
          <w:sz w:val="22"/>
        </w:rPr>
        <w:t xml:space="preserve">Continuity. </w:t>
      </w:r>
      <w:r>
        <w:rPr>
          <w:rFonts w:ascii="Times New Roman" w:hAnsi="Times New Roman"/>
          <w:b w:val="false"/>
          <w:i w:val="false"/>
          <w:color w:val="000000"/>
          <w:sz w:val="22"/>
        </w:rPr>
        <w:t xml:space="preserve">(Iowa Code section </w:t>
      </w:r>
      <w:hyperlink r:id="rId14">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should demonstrate that an attempt was made to solicit letters of support from area hospitals and physicians to indicate a community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should provide documentation that emergency medical transport services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Institutions providing cardiovascular surgery services should include mechanisms for comprehensive medical followup, including adequate medical records exchange.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124.1(8)</w:t>
      </w:r>
      <w:r>
        <w:rPr>
          <w:rFonts w:ascii="Times New Roman" w:hAnsi="Times New Roman"/>
          <w:b w:val="false"/>
          <w:i w:val="false"/>
          <w:color w:val="000000"/>
          <w:sz w:val="22"/>
        </w:rPr>
        <w:t> </w:t>
      </w:r>
      <w:r>
        <w:rPr>
          <w:rFonts w:ascii="Times New Roman" w:hAnsi="Times New Roman"/>
          <w:b w:val="false"/>
          <w:i/>
          <w:color w:val="000000"/>
          <w:sz w:val="22"/>
        </w:rPr>
        <w:t xml:space="preserve">Acceptability. </w:t>
      </w:r>
      <w:r>
        <w:rPr>
          <w:rFonts w:ascii="Times New Roman" w:hAnsi="Times New Roman"/>
          <w:b w:val="false"/>
          <w:i w:val="false"/>
          <w:color w:val="000000"/>
          <w:sz w:val="22"/>
        </w:rPr>
        <w:t xml:space="preserve">(Iowa Code section </w:t>
      </w:r>
      <w:hyperlink r:id="rId15">
        <w:r>
          <w:rPr>
            <w:rStyle w:val="Hyperlink"/>
            <w:rFonts w:ascii="Times New Roman" w:hAnsi="Times New Roman"/>
            <w:b w:val="false"/>
            <w:i w:val="false"/>
            <w:color w:val="000000"/>
            <w:sz w:val="22"/>
          </w:rPr>
          <w:t>135.63(1)</w:t>
        </w:r>
      </w:hyperlink>
      <w:r>
        <w:rPr>
          <w:rFonts w:ascii="Times New Roman" w:hAnsi="Times New Roman"/>
          <w:b w:val="false"/>
          <w:i w:val="false"/>
          <w:color w:val="000000"/>
          <w:sz w:val="22"/>
        </w:rPr>
        <w:t>) Facilities with cardiovascular surgery and cardiac catheterization indicate a willingness to observe and respect the rights of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441—124.2</w:t>
      </w:r>
      <w:r>
        <w:rPr>
          <w:rFonts w:ascii="Times New Roman" w:hAnsi="Times New Roman"/>
          <w:b/>
          <w:i w:val="false"/>
          <w:color w:val="000000"/>
          <w:sz w:val="22"/>
        </w:rPr>
        <w:t xml:space="preserve">(135) </w:t>
      </w:r>
      <w:r>
        <w:rPr>
          <w:rFonts w:ascii="Times New Roman" w:hAnsi="Times New Roman"/>
          <w:b/>
          <w:i w:val="false"/>
          <w:color w:val="000000"/>
          <w:sz w:val="22"/>
        </w:rPr>
        <w:t xml:space="preserve">Radiation therapy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standards provide guidelines to assist the department in applying those criteria in Iowa Code section </w:t>
      </w:r>
      <w:hyperlink r:id="rId16">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“r”</w:t>
      </w:r>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135.63(3)</w:t>
        </w:r>
      </w:hyperlink>
      <w:r>
        <w:rPr>
          <w:rFonts w:ascii="Times New Roman" w:hAnsi="Times New Roman"/>
          <w:b w:val="false"/>
          <w:i w:val="false"/>
          <w:color w:val="000000"/>
          <w:sz w:val="22"/>
        </w:rPr>
        <w:t>.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radiation therapy standards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Proposals to commence or expand the kind or capacity of megavoltage radiation therapy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Proposals to replace a megavoltage radiation therapy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applications that relate to megavoltage radiation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the terms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“Computed tomography”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“CT”</w:t>
      </w:r>
      <w:r>
        <w:rPr>
          <w:rFonts w:ascii="Times New Roman" w:hAnsi="Times New Roman"/>
          <w:b w:val="false"/>
          <w:i w:val="false"/>
          <w:color w:val="000000"/>
          <w:sz w:val="22"/>
        </w:rPr>
        <w:t> </w:t>
      </w:r>
      <w:r>
        <w:rPr>
          <w:rFonts w:ascii="Times New Roman" w:hAnsi="Times New Roman"/>
          <w:b w:val="false"/>
          <w:i w:val="false"/>
          <w:color w:val="000000"/>
          <w:sz w:val="22"/>
        </w:rPr>
        <w:t>means an imaging method in which a cross-sectional image of the structures in a body plane is reconstructed by a computer program from the X-ray absorption of beams projected through the body in the image plane.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“Conjoint radiation oncology center”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“cancer center”</w:t>
      </w:r>
      <w:r>
        <w:rPr>
          <w:rFonts w:ascii="Times New Roman" w:hAnsi="Times New Roman"/>
          <w:b w:val="false"/>
          <w:i w:val="false"/>
          <w:color w:val="000000"/>
          <w:sz w:val="22"/>
        </w:rPr>
        <w:t> </w:t>
      </w:r>
      <w:r>
        <w:rPr>
          <w:rFonts w:ascii="Times New Roman" w:hAnsi="Times New Roman"/>
          <w:b w:val="false"/>
          <w:i w:val="false"/>
          <w:color w:val="000000"/>
          <w:sz w:val="22"/>
        </w:rPr>
        <w:t>means a multi-institution, multidisciplinary network to provide radiation therapy for cancer patients. Integration of patient care management, common utilization of personnel and equipment, and a single system of records between center institutions ensures optimal care regardless of entry portal.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“Dosimetrist”</w:t>
      </w:r>
      <w:r>
        <w:rPr>
          <w:rFonts w:ascii="Times New Roman" w:hAnsi="Times New Roman"/>
          <w:b w:val="false"/>
          <w:i w:val="false"/>
          <w:color w:val="000000"/>
          <w:sz w:val="22"/>
        </w:rPr>
        <w:t> </w:t>
      </w:r>
      <w:r>
        <w:rPr>
          <w:rFonts w:ascii="Times New Roman" w:hAnsi="Times New Roman"/>
          <w:b w:val="false"/>
          <w:i w:val="false"/>
          <w:color w:val="000000"/>
          <w:sz w:val="22"/>
        </w:rPr>
        <w:t>means a staff member who calculates, verifies, and develops treatment plans for the radiation dose distributions that will be delivered to patients. The dosimetrist is an essential member of the treatment planning team and works closely with radiation oncologists and radiation physicists.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“Megavoltage therapy”</w:t>
      </w:r>
      <w:r>
        <w:rPr>
          <w:rFonts w:ascii="Times New Roman" w:hAnsi="Times New Roman"/>
          <w:b w:val="false"/>
          <w:i w:val="false"/>
          <w:color w:val="000000"/>
          <w:sz w:val="22"/>
        </w:rPr>
        <w:t> </w:t>
      </w:r>
      <w:r>
        <w:rPr>
          <w:rFonts w:ascii="Times New Roman" w:hAnsi="Times New Roman"/>
          <w:b w:val="false"/>
          <w:i w:val="false"/>
          <w:color w:val="000000"/>
          <w:sz w:val="22"/>
        </w:rPr>
        <w:t>means the use of ionizing radiation in excess of 1 million electron volts. Energies above 1 million electron volts cause considerably less skin damage, increase depth dose markedly, and result in much less scatter from the therapeutic beam. Megavoltage machines are classified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Electron accelerator. A machine such as a linear accelerator that uses a supply of electrons, which are accelerated into high-energy beams. These electron beams are either caused to strike a target resulting in high-energy X-ray production or are used themselves as the treatment beam. Electron accelerators generate over 1 million electron volts.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Heavy particle accelerator. A machine such as a cyclotron that produces beams of high-energy particles such as protons, neutrons, pions, carbon ions, or other heavy ions with masses greater than that of an electron.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Isotope sources (gamma ray teletherapy units). Cobalt 60 units—emit gamma rays of approximately 1.2 million electron volts.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“Megavoltage therapy unit”</w:t>
      </w:r>
      <w:r>
        <w:rPr>
          <w:rFonts w:ascii="Times New Roman" w:hAnsi="Times New Roman"/>
          <w:b w:val="false"/>
          <w:i w:val="false"/>
          <w:color w:val="000000"/>
          <w:sz w:val="22"/>
        </w:rPr>
        <w:t> </w:t>
      </w:r>
      <w:r>
        <w:rPr>
          <w:rFonts w:ascii="Times New Roman" w:hAnsi="Times New Roman"/>
          <w:b w:val="false"/>
          <w:i w:val="false"/>
          <w:color w:val="000000"/>
          <w:sz w:val="22"/>
        </w:rPr>
        <w:t>means a piece of megavoltage therapeutic radiologic equipment that provides megavoltage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“New occurrence”</w:t>
      </w:r>
      <w:r>
        <w:rPr>
          <w:rFonts w:ascii="Times New Roman" w:hAnsi="Times New Roman"/>
          <w:b w:val="false"/>
          <w:i w:val="false"/>
          <w:color w:val="000000"/>
          <w:sz w:val="22"/>
        </w:rPr>
        <w:t> </w:t>
      </w:r>
      <w:r>
        <w:rPr>
          <w:rFonts w:ascii="Times New Roman" w:hAnsi="Times New Roman"/>
          <w:b w:val="false"/>
          <w:i w:val="false"/>
          <w:color w:val="000000"/>
          <w:sz w:val="22"/>
        </w:rPr>
        <w:t>means a course of treatment for a new occurrence on a given patient at a given radiation therapy facility. First-time radiation therapy at a new facility is based on each round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modality”</w:t>
      </w:r>
      <w:r>
        <w:rPr>
          <w:rFonts w:ascii="Times New Roman" w:hAnsi="Times New Roman"/>
          <w:b w:val="false"/>
          <w:i w:val="false"/>
          <w:color w:val="000000"/>
          <w:sz w:val="22"/>
        </w:rPr>
        <w:t> </w:t>
      </w:r>
      <w:r>
        <w:rPr>
          <w:rFonts w:ascii="Times New Roman" w:hAnsi="Times New Roman"/>
          <w:b w:val="false"/>
          <w:i w:val="false"/>
          <w:color w:val="000000"/>
          <w:sz w:val="22"/>
        </w:rPr>
        <w:t>means the method of applying ionizing radiation in the treatment of patients with malignant disease using megavoltage external beam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oncologist”</w:t>
      </w:r>
      <w:r>
        <w:rPr>
          <w:rFonts w:ascii="Times New Roman" w:hAnsi="Times New Roman"/>
          <w:b w:val="false"/>
          <w:i w:val="false"/>
          <w:color w:val="000000"/>
          <w:sz w:val="22"/>
        </w:rPr>
        <w:t> </w:t>
      </w:r>
      <w:r>
        <w:rPr>
          <w:rFonts w:ascii="Times New Roman" w:hAnsi="Times New Roman"/>
          <w:b w:val="false"/>
          <w:i w:val="false"/>
          <w:color w:val="000000"/>
          <w:sz w:val="22"/>
        </w:rPr>
        <w:t>means a physician authorized user trained in accordance with rule  </w:t>
      </w:r>
      <w:hyperlink r:id="rId18">
        <w:r>
          <w:rPr>
            <w:rStyle w:val="Hyperlink"/>
            <w:rFonts w:ascii="Times New Roman" w:hAnsi="Times New Roman"/>
            <w:b w:val="false"/>
            <w:i w:val="false"/>
            <w:color w:val="000000"/>
            <w:sz w:val="22"/>
          </w:rPr>
          <w:t>641—42.5</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therapy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means the physical space that houses a megavoltage therapy unit and accompanying support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therapy physicist”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who works closely with radiation oncologists and is responsible for the safe and accurate delivery of radiation to patients. A radiation therapy physicist conducts quality control programs for the equipment and procedures and calibrates the equipment. A radiation therapy physicist shall practice in accordance with rule </w:t>
      </w:r>
      <w:hyperlink r:id="rId19">
        <w:r>
          <w:rPr>
            <w:rStyle w:val="Hyperlink"/>
            <w:rFonts w:ascii="Times New Roman" w:hAnsi="Times New Roman"/>
            <w:b w:val="false"/>
            <w:i w:val="false"/>
            <w:color w:val="000000"/>
            <w:sz w:val="22"/>
          </w:rPr>
          <w:t>641—42.6</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therapy technologist”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who possesses an Iowa permit to practice as a radiation therapist in accordance with rule </w:t>
      </w:r>
      <w:hyperlink r:id="rId20">
        <w:r>
          <w:rPr>
            <w:rStyle w:val="Hyperlink"/>
            <w:rFonts w:ascii="Times New Roman" w:hAnsi="Times New Roman"/>
            <w:b w:val="false"/>
            <w:i w:val="false"/>
            <w:color w:val="000000"/>
            <w:sz w:val="22"/>
          </w:rPr>
          <w:t>641—38.4</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area”</w:t>
      </w:r>
      <w:r>
        <w:rPr>
          <w:rFonts w:ascii="Times New Roman" w:hAnsi="Times New Roman"/>
          <w:b w:val="false"/>
          <w:i w:val="false"/>
          <w:color w:val="000000"/>
          <w:sz w:val="22"/>
        </w:rPr>
        <w:t> </w:t>
      </w:r>
      <w:r>
        <w:rPr>
          <w:rFonts w:ascii="Times New Roman" w:hAnsi="Times New Roman"/>
          <w:b w:val="false"/>
          <w:i w:val="false"/>
          <w:color w:val="000000"/>
          <w:sz w:val="22"/>
        </w:rPr>
        <w:t>means the county in which the facility is located and any other counties from which an applicant expects to draw patients with a cancer diagnosis who need radiation therapy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“Simulation”</w:t>
      </w:r>
      <w:r>
        <w:rPr>
          <w:rFonts w:ascii="Times New Roman" w:hAnsi="Times New Roman"/>
          <w:b w:val="false"/>
          <w:i w:val="false"/>
          <w:color w:val="000000"/>
          <w:sz w:val="22"/>
        </w:rPr>
        <w:t> </w:t>
      </w:r>
      <w:r>
        <w:rPr>
          <w:rFonts w:ascii="Times New Roman" w:hAnsi="Times New Roman"/>
          <w:b w:val="false"/>
          <w:i w:val="false"/>
          <w:color w:val="000000"/>
          <w:sz w:val="22"/>
        </w:rPr>
        <w:t>means the precise mock-up of a patient treatment with an apparatus that uses planar X-rays, a magnetic resonance imaging device, or a computed tomography scanner, which is used in reproducing the two-dimensional or three-dimensional internal or external geometry to the patient, for use in treatment planning and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“Superficial X-ray therapy”</w:t>
      </w:r>
      <w:r>
        <w:rPr>
          <w:rFonts w:ascii="Times New Roman" w:hAnsi="Times New Roman"/>
          <w:b w:val="false"/>
          <w:i w:val="false"/>
          <w:color w:val="000000"/>
          <w:sz w:val="22"/>
        </w:rPr>
        <w:t> </w:t>
      </w:r>
      <w:r>
        <w:rPr>
          <w:rFonts w:ascii="Times New Roman" w:hAnsi="Times New Roman"/>
          <w:b w:val="false"/>
          <w:i w:val="false"/>
          <w:color w:val="000000"/>
          <w:sz w:val="22"/>
        </w:rPr>
        <w:t>means the use of a conventional X-ray machine, which generates X-rays of up to 150 kilovolts (kv), to treat superficial lesions, such as skin cancer.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“Treatment”</w:t>
      </w:r>
      <w:r>
        <w:rPr>
          <w:rFonts w:ascii="Times New Roman" w:hAnsi="Times New Roman"/>
          <w:b w:val="false"/>
          <w:i w:val="false"/>
          <w:color w:val="000000"/>
          <w:sz w:val="22"/>
        </w:rPr>
        <w:t> </w:t>
      </w:r>
      <w:r>
        <w:rPr>
          <w:rFonts w:ascii="Times New Roman" w:hAnsi="Times New Roman"/>
          <w:b w:val="false"/>
          <w:i w:val="false"/>
          <w:color w:val="000000"/>
          <w:sz w:val="22"/>
        </w:rPr>
        <w:t>means radiation fields applied in a single patient visit fraction or delivery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124.2(3)</w:t>
      </w:r>
      <w:r>
        <w:rPr>
          <w:rFonts w:ascii="Times New Roman" w:hAnsi="Times New Roman"/>
          <w:b w:val="false"/>
          <w:i w:val="false"/>
          <w:color w:val="000000"/>
          <w:sz w:val="22"/>
        </w:rPr>
        <w:t> </w:t>
      </w:r>
      <w:r>
        <w:rPr>
          <w:rFonts w:ascii="Times New Roman" w:hAnsi="Times New Roman"/>
          <w:b w:val="false"/>
          <w:i/>
          <w:color w:val="000000"/>
          <w:sz w:val="22"/>
        </w:rPr>
        <w:t xml:space="preserve">Availability.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Minimum utilization. </w:t>
      </w:r>
      <w:r>
        <w:rPr>
          <w:rFonts w:ascii="Times New Roman" w:hAnsi="Times New Roman"/>
          <w:b w:val="false"/>
          <w:i w:val="false"/>
          <w:color w:val="000000"/>
          <w:sz w:val="22"/>
        </w:rPr>
        <w:t xml:space="preserve">(Iowa Code section </w:t>
      </w:r>
      <w:hyperlink r:id="rId21">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megavoltage radiation therapy unit and cobalt units should treat at least 250 new occurrences annually within three years after initiation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expected number of new occurrences needing megavoltage radiation therapy annually in a service area should be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Multiply the service area population by 0.00582 (5.82/1,000 population was the mean cancer incidence rate in 2017 in Iowa as filed by the Surveillance, Epidemiology, and End Results (SEER)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Multiply this product by 0.5 (50 percent of all new occurrences receive radiation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expected volume of utilization sufficient to support the need for a new megavoltage therapy unit should be calculated as follows: Each unit shall provide a minimum of 5,000 treatments per annum. Megavoltage treatments should be projected by multiplying the number of projected new occurrences needing megavoltage therapy by 20, which will result in no fewer than 5,000 treatments per annum.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applicant shall account for other providers of radiation therapy in the service area, including but not limited to factors such as technological capability and quality. An applicant shall address in the applicant’s application other providers and the impact on those providers in the service area and compare technological capability and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applicant should provide a map of the expected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Institutions that form a conjoint oncology center should have at least 500 new occurrences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Simulator availability. </w:t>
      </w:r>
      <w:r>
        <w:rPr>
          <w:rFonts w:ascii="Times New Roman" w:hAnsi="Times New Roman"/>
          <w:b w:val="false"/>
          <w:i w:val="false"/>
          <w:color w:val="000000"/>
          <w:sz w:val="22"/>
        </w:rPr>
        <w:t>A simulator should be available within a radiation oncology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124.2(4)</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(Iowa Code section </w:t>
      </w:r>
      <w:hyperlink r:id="rId22">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Radiation therapy services should be provided regardless of ability to pay in consideration of those programs available in the state that serve the medically indigent.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124.2(5)</w:t>
      </w:r>
      <w:r>
        <w:rPr>
          <w:rFonts w:ascii="Times New Roman" w:hAnsi="Times New Roman"/>
          <w:b w:val="false"/>
          <w:i w:val="false"/>
          <w:color w:val="000000"/>
          <w:sz w:val="22"/>
        </w:rPr>
        <w:t> </w:t>
      </w:r>
      <w:r>
        <w:rPr>
          <w:rFonts w:ascii="Times New Roman" w:hAnsi="Times New Roman"/>
          <w:b w:val="false"/>
          <w:i/>
          <w:color w:val="000000"/>
          <w:sz w:val="22"/>
        </w:rPr>
        <w:t xml:space="preserve">Quality. </w:t>
      </w:r>
      <w:r>
        <w:rPr>
          <w:rFonts w:ascii="Times New Roman" w:hAnsi="Times New Roman"/>
          <w:b w:val="false"/>
          <w:i w:val="false"/>
          <w:color w:val="000000"/>
          <w:sz w:val="22"/>
        </w:rPr>
        <w:t>(Iowa Code section </w:t>
      </w:r>
      <w:hyperlink r:id="rId23">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Minimum staffing requirements for radiation therapy facilities. Each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Will have the services of at least one radiation oncologist.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Will have the services of at least one radiation therapy physicist.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Will have the services of radiation therapy technologists that should be staffed at a level of two technologists per megavoltage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Should have the services of 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Should have the services of at least one dosimetrist.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Should have the services of one radiation therapist or radiation technologist competent to operate a CT simulator.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Should offer psychosocial counseling services and nutritional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Minimum staffing requirements for conjoint centers. Each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Will have at least two cancer biologists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Will have one radiation technologist available for each simulator.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Should have a source of continuing education to reach participating community referral hospitals and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Should have a unified training program in radiation therapy for radiation oncologists.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long-range plans for radiation therapy services shall be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Multidisciplinary tumor boards should be established in all institutions housing megavoltage machines.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124.2(6)</w:t>
      </w:r>
      <w:r>
        <w:rPr>
          <w:rFonts w:ascii="Times New Roman" w:hAnsi="Times New Roman"/>
          <w:b w:val="false"/>
          <w:i w:val="false"/>
          <w:color w:val="000000"/>
          <w:sz w:val="22"/>
        </w:rPr>
        <w:t> </w:t>
      </w:r>
      <w:r>
        <w:rPr>
          <w:rFonts w:ascii="Times New Roman" w:hAnsi="Times New Roman"/>
          <w:b w:val="false"/>
          <w:i/>
          <w:color w:val="000000"/>
          <w:sz w:val="22"/>
        </w:rPr>
        <w:t xml:space="preserve">Continuity. </w:t>
      </w:r>
      <w:r>
        <w:rPr>
          <w:rFonts w:ascii="Times New Roman" w:hAnsi="Times New Roman"/>
          <w:b w:val="false"/>
          <w:i w:val="false"/>
          <w:color w:val="000000"/>
          <w:sz w:val="22"/>
        </w:rPr>
        <w:t>(Iowa Code section </w:t>
      </w:r>
      <w:hyperlink r:id="rId24">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 An applicant should demonstrate that an attempt was made to solicit letters and establish referral agreements from area hospitals and physicians to indicate their willingness to participate in a cooperative endeavor to refer to the proposed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441—124.3</w:t>
      </w:r>
      <w:r>
        <w:rPr>
          <w:rFonts w:ascii="Times New Roman" w:hAnsi="Times New Roman"/>
          <w:b/>
          <w:i w:val="false"/>
          <w:color w:val="000000"/>
          <w:sz w:val="22"/>
        </w:rPr>
        <w:t xml:space="preserve">(135) </w:t>
      </w:r>
      <w:r>
        <w:rPr>
          <w:rFonts w:ascii="Times New Roman" w:hAnsi="Times New Roman"/>
          <w:b/>
          <w:i w:val="false"/>
          <w:color w:val="000000"/>
          <w:sz w:val="22"/>
        </w:rPr>
        <w:t xml:space="preserve">Computerized tomography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standards are measures of some of those criteria in Iowa Code section </w:t>
      </w:r>
      <w:hyperlink r:id="rId25">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“l.”</w:t>
      </w:r>
      <w:r>
        <w:rPr>
          <w:rFonts w:ascii="Times New Roman" w:hAnsi="Times New Roman"/>
          <w:b w:val="false"/>
          <w:i w:val="false"/>
          <w:color w:val="000000"/>
          <w:sz w:val="22"/>
        </w:rPr>
        <w:t xml:space="preserve">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computerized tomography standards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Proposals to commence or expand the capacity of computerized tomography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other applications that relate to computerized tomography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the terms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oncology service”</w:t>
      </w:r>
      <w:r>
        <w:rPr>
          <w:rFonts w:ascii="Times New Roman" w:hAnsi="Times New Roman"/>
          <w:b w:val="false"/>
          <w:i w:val="false"/>
          <w:color w:val="000000"/>
          <w:sz w:val="22"/>
        </w:rPr>
        <w:t> </w:t>
      </w:r>
      <w:r>
        <w:rPr>
          <w:rFonts w:ascii="Times New Roman" w:hAnsi="Times New Roman"/>
          <w:b w:val="false"/>
          <w:i w:val="false"/>
          <w:color w:val="000000"/>
          <w:sz w:val="22"/>
        </w:rPr>
        <w:t>means full, multidisciplinary cancer care, provided by a medical team that would include: surgery, gynecology, medical oncology, radiation oncology, pathology, diagnostic radiology and nuclear medicine. The surgery specialties that might be available would include: thoracic, abdominal, genitourinary and gynecological. The active oncology staff would include those specialists with training in oncology, hematology, and pathology and who spend at least half of their time at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 facility or a consortium of facilities within an area or a physician or group of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“Chemotherapy service”</w:t>
      </w:r>
      <w:r>
        <w:rPr>
          <w:rFonts w:ascii="Times New Roman" w:hAnsi="Times New Roman"/>
          <w:b w:val="false"/>
          <w:i w:val="false"/>
          <w:color w:val="000000"/>
          <w:sz w:val="22"/>
        </w:rPr>
        <w:t> </w:t>
      </w:r>
      <w:r>
        <w:rPr>
          <w:rFonts w:ascii="Times New Roman" w:hAnsi="Times New Roman"/>
          <w:b w:val="false"/>
          <w:i w:val="false"/>
          <w:color w:val="000000"/>
          <w:sz w:val="22"/>
        </w:rPr>
        <w:t>means the treatment of cancer by chemical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“Computerized tomographic (CT) scanner”</w:t>
      </w:r>
      <w:r>
        <w:rPr>
          <w:rFonts w:ascii="Times New Roman" w:hAnsi="Times New Roman"/>
          <w:b w:val="false"/>
          <w:i w:val="false"/>
          <w:color w:val="000000"/>
          <w:sz w:val="22"/>
        </w:rPr>
        <w:t> </w:t>
      </w:r>
      <w:r>
        <w:rPr>
          <w:rFonts w:ascii="Times New Roman" w:hAnsi="Times New Roman"/>
          <w:b w:val="false"/>
          <w:i w:val="false"/>
          <w:color w:val="000000"/>
          <w:sz w:val="22"/>
        </w:rPr>
        <w:t>means a diagnostic tool that rotates around the body and that sends X-ray beams through the body or brain. The X-ray beams that emerge from the body or brain are absorbed by a detector. Differences in the amount of X-rays absorbed by the detector indicate differences in tissue density. As the scanner rotates, it takes many images of a volume or cross-section. The images on the detector are transmitted to a computer that displays on a monitor a reconstructed cross-sectional slice or volume. Contrast media is often injected to alter absorption of the detector. If the scan is repeated, it is called enhancement. Studies of the heart, arteries and veins may be done with contrast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“CT consortia”</w:t>
      </w:r>
      <w:r>
        <w:rPr>
          <w:rFonts w:ascii="Times New Roman" w:hAnsi="Times New Roman"/>
          <w:b w:val="false"/>
          <w:i w:val="false"/>
          <w:color w:val="000000"/>
          <w:sz w:val="22"/>
        </w:rPr>
        <w:t> </w:t>
      </w:r>
      <w:r>
        <w:rPr>
          <w:rFonts w:ascii="Times New Roman" w:hAnsi="Times New Roman"/>
          <w:b w:val="false"/>
          <w:i w:val="false"/>
          <w:color w:val="000000"/>
          <w:sz w:val="22"/>
        </w:rPr>
        <w:t>means a cooperative venture in which two or more institutions form a separate entity that is created for the purpose of owning, leasing, planning for, and maintaining the use of the scanner. Each facility in the consortium maintains its autonomy for all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service (EMS) level II trauma service”</w:t>
      </w:r>
      <w:r>
        <w:rPr>
          <w:rFonts w:ascii="Times New Roman" w:hAnsi="Times New Roman"/>
          <w:b w:val="false"/>
          <w:i w:val="false"/>
          <w:color w:val="000000"/>
          <w:sz w:val="22"/>
        </w:rPr>
        <w:t> </w:t>
      </w:r>
      <w:r>
        <w:rPr>
          <w:rFonts w:ascii="Times New Roman" w:hAnsi="Times New Roman"/>
          <w:b w:val="false"/>
          <w:i w:val="false"/>
          <w:color w:val="000000"/>
          <w:sz w:val="22"/>
        </w:rPr>
        <w:t>means the level of various services and staffing that qualify a facility to be designated by the department, using the facilities categorization criteria of such services that is in effect on the date of the enactment of this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“Enhanced scan”</w:t>
      </w:r>
      <w:r>
        <w:rPr>
          <w:rFonts w:ascii="Times New Roman" w:hAnsi="Times New Roman"/>
          <w:b w:val="false"/>
          <w:i w:val="false"/>
          <w:color w:val="000000"/>
          <w:sz w:val="22"/>
        </w:rPr>
        <w:t> </w:t>
      </w:r>
      <w:r>
        <w:rPr>
          <w:rFonts w:ascii="Times New Roman" w:hAnsi="Times New Roman"/>
          <w:b w:val="false"/>
          <w:i w:val="false"/>
          <w:color w:val="000000"/>
          <w:sz w:val="22"/>
        </w:rPr>
        <w:t>means a scan performed on a patient who has been administered a contrast medium so that specific organs or areas of the body will be displayed more distinctly on the scan 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“General imaging procedures”</w:t>
      </w:r>
      <w:r>
        <w:rPr>
          <w:rFonts w:ascii="Times New Roman" w:hAnsi="Times New Roman"/>
          <w:b w:val="false"/>
          <w:i w:val="false"/>
          <w:color w:val="000000"/>
          <w:sz w:val="22"/>
        </w:rPr>
        <w:t> </w:t>
      </w:r>
      <w:r>
        <w:rPr>
          <w:rFonts w:ascii="Times New Roman" w:hAnsi="Times New Roman"/>
          <w:b w:val="false"/>
          <w:i w:val="false"/>
          <w:color w:val="000000"/>
          <w:sz w:val="22"/>
        </w:rPr>
        <w:t>means a radiological diagnostic procedure performed on an X-ray machine or similar radiological diagnostic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“Head scanner”</w:t>
      </w:r>
      <w:r>
        <w:rPr>
          <w:rFonts w:ascii="Times New Roman" w:hAnsi="Times New Roman"/>
          <w:b w:val="false"/>
          <w:i w:val="false"/>
          <w:color w:val="000000"/>
          <w:sz w:val="22"/>
        </w:rPr>
        <w:t> </w:t>
      </w:r>
      <w:r>
        <w:rPr>
          <w:rFonts w:ascii="Times New Roman" w:hAnsi="Times New Roman"/>
          <w:b w:val="false"/>
          <w:i w:val="false"/>
          <w:color w:val="000000"/>
          <w:sz w:val="22"/>
        </w:rPr>
        <w:t>means a scanner capable of imaging only the brain and structures adjacent to the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“Minimum shared-market area for a scanner”</w:t>
      </w:r>
      <w:r>
        <w:rPr>
          <w:rFonts w:ascii="Times New Roman" w:hAnsi="Times New Roman"/>
          <w:b w:val="false"/>
          <w:i w:val="false"/>
          <w:color w:val="000000"/>
          <w:sz w:val="22"/>
        </w:rPr>
        <w:t> </w:t>
      </w:r>
      <w:r>
        <w:rPr>
          <w:rFonts w:ascii="Times New Roman" w:hAnsi="Times New Roman"/>
          <w:b w:val="false"/>
          <w:i w:val="false"/>
          <w:color w:val="000000"/>
          <w:sz w:val="22"/>
        </w:rPr>
        <w:t>(hereafter referred to as “area”) means the smallest geographic area within which any scanner installation is judged to affect the utilization rate of any other scanner in the community (as defined by the U.S. Bureau of the Census) or a standard metropolitan statistical area (where an area is so designated).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“Radiotherapy service”</w:t>
      </w:r>
      <w:r>
        <w:rPr>
          <w:rFonts w:ascii="Times New Roman" w:hAnsi="Times New Roman"/>
          <w:b w:val="false"/>
          <w:i w:val="false"/>
          <w:color w:val="000000"/>
          <w:sz w:val="22"/>
        </w:rPr>
        <w:t> </w:t>
      </w:r>
      <w:r>
        <w:rPr>
          <w:rFonts w:ascii="Times New Roman" w:hAnsi="Times New Roman"/>
          <w:b w:val="false"/>
          <w:i w:val="false"/>
          <w:color w:val="000000"/>
          <w:sz w:val="22"/>
        </w:rPr>
        <w:t>means the therapeutic application of megavoltage radiation, using a linear accelerator or cobalt unit. The availability of such service at a hospital would necessitate personnel trained in the therapeutic application of radiology.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“Shared service agreement”</w:t>
      </w:r>
      <w:r>
        <w:rPr>
          <w:rFonts w:ascii="Times New Roman" w:hAnsi="Times New Roman"/>
          <w:b w:val="false"/>
          <w:i w:val="false"/>
          <w:color w:val="000000"/>
          <w:sz w:val="22"/>
        </w:rPr>
        <w:t> </w:t>
      </w:r>
      <w:r>
        <w:rPr>
          <w:rFonts w:ascii="Times New Roman" w:hAnsi="Times New Roman"/>
          <w:b w:val="false"/>
          <w:i w:val="false"/>
          <w:color w:val="000000"/>
          <w:sz w:val="22"/>
        </w:rPr>
        <w:t>means a multi-institutional arrangement for coordination or consolidation of services or sharing of support services. Among the various types of arrangements are referred services, purchased or joint contract services, multisponsored services and regional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“Whole body scanner”</w:t>
      </w:r>
      <w:r>
        <w:rPr>
          <w:rFonts w:ascii="Times New Roman" w:hAnsi="Times New Roman"/>
          <w:b w:val="false"/>
          <w:i w:val="false"/>
          <w:color w:val="000000"/>
          <w:sz w:val="22"/>
        </w:rPr>
        <w:t> </w:t>
      </w:r>
      <w:r>
        <w:rPr>
          <w:rFonts w:ascii="Times New Roman" w:hAnsi="Times New Roman"/>
          <w:b w:val="false"/>
          <w:i w:val="false"/>
          <w:color w:val="000000"/>
          <w:sz w:val="22"/>
        </w:rPr>
        <w:t>means a scanner capable of imaging the entire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need.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who does not have a scanner or an applicant who has a scanner and seeks a certificate for one or more additional scanners.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in areas with no other scanners.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must have performed at least 30,000 general imaging procedures during the past calendar year or 12 months,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must demonstrate that during the past calendar year or 12 months, the applicant has performed diagnostic procedures equivalent to 1,500 head equivalent CTs (HECTs), using the following: 100 percent of the number of patients referred to other facilities for CT diagnosis × 1.75 (in the case of head scans) and 2.75 (in the case of body scans).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in an area with one or more scanners.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must meet the requirement of need described in subparagraph </w:t>
      </w:r>
      <w:hyperlink r:id="rId26">
        <w:r>
          <w:rPr>
            <w:rStyle w:val="Hyperlink"/>
            <w:rFonts w:ascii="Times New Roman" w:hAnsi="Times New Roman"/>
            <w:b w:val="false"/>
            <w:i w:val="false"/>
            <w:color w:val="000000"/>
            <w:sz w:val="22"/>
          </w:rPr>
          <w:t>124.4(3)</w:t>
        </w:r>
      </w:hyperlink>
      <w:r>
        <w:rPr>
          <w:rFonts w:ascii="Times New Roman" w:hAnsi="Times New Roman"/>
          <w:b w:val="false"/>
          <w:i/>
          <w:color w:val="000000"/>
          <w:sz w:val="22"/>
        </w:rPr>
        <w:t>“a”</w:t>
      </w:r>
      <w:r>
        <w:rPr>
          <w:rFonts w:ascii="Times New Roman" w:hAnsi="Times New Roman"/>
          <w:b w:val="false"/>
          <w:i w:val="false"/>
          <w:color w:val="000000"/>
          <w:sz w:val="22"/>
        </w:rPr>
        <w:t>(1),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average level of utilization for scanners within the area was at least 3,000 HECTs (plus or minus 10 percent) for the past calendar year or 12 months. The average level of utilization will be determined by adding the number of HECTs performed during the period at all area facilities divided by the number of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University of Iowa Health Care is specifically exempted from consideration under numbered paragraph </w:t>
      </w:r>
      <w:hyperlink r:id="rId27">
        <w:r>
          <w:rPr>
            <w:rStyle w:val="Hyperlink"/>
            <w:rFonts w:ascii="Times New Roman" w:hAnsi="Times New Roman"/>
            <w:b w:val="false"/>
            <w:i w:val="false"/>
            <w:color w:val="000000"/>
            <w:sz w:val="22"/>
          </w:rPr>
          <w:t>124.3(3)</w:t>
        </w:r>
      </w:hyperlink>
      <w:r>
        <w:rPr>
          <w:rFonts w:ascii="Times New Roman" w:hAnsi="Times New Roman"/>
          <w:b w:val="false"/>
          <w:i/>
          <w:color w:val="000000"/>
          <w:sz w:val="22"/>
        </w:rPr>
        <w:t>“a”</w:t>
      </w:r>
      <w:r>
        <w:rPr>
          <w:rFonts w:ascii="Times New Roman" w:hAnsi="Times New Roman"/>
          <w:b w:val="false"/>
          <w:i w:val="false"/>
          <w:color w:val="000000"/>
          <w:sz w:val="22"/>
        </w:rPr>
        <w:t>(2)“2” because it has a service area that encompasses the entire state and adjoining states. The utilization statistics for scanners at the University of Nebraska Medical Center and Creighton University Medical Center – Bergan Mercy (both in Omaha) will not affect the need for scanners at hospitals in Council Bluffs.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Replacement scanners—applicant who currently has a scanner.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seeking to replace a scanner with another scanner, head or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must demonstrate that the applicant’s use of the applicant’s current scanner was at least at the operating capacity level during the last calendar year or 12 months,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must demonstrate that the applicant’s use of the applicant’s current scanner was at least below the operating capacity level, but above the 1,500 CT scan level, and the applicant must demonstrate reasons for permanently utilizing the applicant’s scanner below operating capacity level and demonstrate that discontinuation of the applicant’s scanner service would impair the applicant’s ability to respond to the emergency needs of the area. Reasons for utilizing the scanner below the capacity should include a unique patient or procedure mix that would define the capacity level differently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124.3(4)</w:t>
      </w:r>
      <w:r>
        <w:rPr>
          <w:rFonts w:ascii="Times New Roman" w:hAnsi="Times New Roman"/>
          <w:b w:val="false"/>
          <w:i w:val="false"/>
          <w:color w:val="000000"/>
          <w:sz w:val="22"/>
        </w:rPr>
        <w:t> </w:t>
      </w:r>
      <w:r>
        <w:rPr>
          <w:rFonts w:ascii="Times New Roman" w:hAnsi="Times New Roman"/>
          <w:b w:val="false"/>
          <w:i/>
          <w:color w:val="000000"/>
          <w:sz w:val="22"/>
        </w:rPr>
        <w:t xml:space="preserve">Costs and financial feasibility. </w:t>
      </w:r>
      <w:r>
        <w:rPr>
          <w:rFonts w:ascii="Times New Roman" w:hAnsi="Times New Roman"/>
          <w:b w:val="false"/>
          <w:i w:val="false"/>
          <w:color w:val="000000"/>
          <w:sz w:val="22"/>
        </w:rPr>
        <w:t xml:space="preserve">(Iowa Code section </w:t>
      </w:r>
      <w:hyperlink r:id="rId28">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“p”</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CT scanners should be depreciated over a period of not less than seven years. Remodeling shall be depreciated as appropriate by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Cost-effectiveness. An applicant should demonstrate for the applicant and the health care system that the most cost-effective method of providing CT services has been chosen. A proposed new and replacement CT scanner’s cost per CT scan should, when compared to the applicant’s peers, demonstrate cost-effectiveness.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 xml:space="preserve">(Iowa Code section </w:t>
      </w:r>
      <w:hyperlink r:id="rId29">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scanners must be available to meet the needs of the communities the scanners are meant to 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should be provided to all patients regardless of the patients’ ability to pay, taking into consideration the availability of those programs available in the state that serve the medically indigent.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will demonstrate a willingness to accept referrals for CT services from all area physicians.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124.3(6)</w:t>
      </w:r>
      <w:r>
        <w:rPr>
          <w:rFonts w:ascii="Times New Roman" w:hAnsi="Times New Roman"/>
          <w:b w:val="false"/>
          <w:i w:val="false"/>
          <w:color w:val="000000"/>
          <w:sz w:val="22"/>
        </w:rPr>
        <w:t> </w:t>
      </w:r>
      <w:r>
        <w:rPr>
          <w:rFonts w:ascii="Times New Roman" w:hAnsi="Times New Roman"/>
          <w:b w:val="false"/>
          <w:i/>
          <w:color w:val="000000"/>
          <w:sz w:val="22"/>
        </w:rPr>
        <w:t xml:space="preserve">Quality. </w:t>
      </w:r>
      <w:r>
        <w:rPr>
          <w:rFonts w:ascii="Times New Roman" w:hAnsi="Times New Roman"/>
          <w:b w:val="false"/>
          <w:i w:val="false"/>
          <w:color w:val="000000"/>
          <w:sz w:val="22"/>
        </w:rPr>
        <w:t xml:space="preserve">(Iowa Code section </w:t>
      </w:r>
      <w:hyperlink r:id="rId30">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Data on use and costs of the CT scanners should be submitted to the Iowa department of health and human services as a condition of approval. (Iowa Code section </w:t>
      </w:r>
      <w:hyperlink r:id="rId31">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scanners.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must demonstrate that the applicant has on its staff or will acquire on its staff a full-time diagnostic radiologist trained in the use of the CT scanner or other physicians with comparable training and expertise.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must document that the applicant has on its medical staff individuals who are qualified to operate a scanner and interpret and act upon the diagnostic results. Such documentation may include reference to board certification, apprenticeship, academic credentials or such other qualifications that would prompt a medical staff to accept the responsibility for offering this new service. An applicant that intends to acquire staff with the desired expertise should provide signed letters of intent from the incoming medical personnel. An applicant that intends to upgrade the specialty skills of its staff should document a plan for training its current staff in the use of CT scanners.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should have a complement of other diagnostic modalities available. An applicant seeking body scanners should also have available ultrasound and conventional X-ray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applicant should have the facilities for treating the conditions diagnosed by imaging with the scanner or should demonstrate referral agreements with treatment facilities in the event that the scanner will be used as a screening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applicant should have on its staff or available on a consultative basis the services of a biomedical engineer or medical physicist with special training in CT applications. These functions may also be provided by contract with the scanner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124.3(7)</w:t>
      </w:r>
      <w:r>
        <w:rPr>
          <w:rFonts w:ascii="Times New Roman" w:hAnsi="Times New Roman"/>
          <w:b w:val="false"/>
          <w:i w:val="false"/>
          <w:color w:val="000000"/>
          <w:sz w:val="22"/>
        </w:rPr>
        <w:t> </w:t>
      </w:r>
      <w:r>
        <w:rPr>
          <w:rFonts w:ascii="Times New Roman" w:hAnsi="Times New Roman"/>
          <w:b w:val="false"/>
          <w:i/>
          <w:color w:val="000000"/>
          <w:sz w:val="22"/>
        </w:rPr>
        <w:t xml:space="preserve">Continuity. </w:t>
      </w:r>
      <w:r>
        <w:rPr>
          <w:rFonts w:ascii="Times New Roman" w:hAnsi="Times New Roman"/>
          <w:b w:val="false"/>
          <w:i w:val="false"/>
          <w:color w:val="000000"/>
          <w:sz w:val="22"/>
        </w:rPr>
        <w:t xml:space="preserve">(Iowa Code section </w:t>
      </w:r>
      <w:hyperlink r:id="rId32">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should demonstrate that an attempt was made to solicit letters of support from area hospitals and physicians to indicate a community need for the proposed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should provide documentation that emergency medical transport services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should demonstrate an emphasis on the availability of outpatient CT procedures and that an appropriate percentage of all CT procedures will be done on an outpatient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124.3(8)</w:t>
      </w:r>
      <w:r>
        <w:rPr>
          <w:rFonts w:ascii="Times New Roman" w:hAnsi="Times New Roman"/>
          <w:b w:val="false"/>
          <w:i w:val="false"/>
          <w:color w:val="000000"/>
          <w:sz w:val="22"/>
        </w:rPr>
        <w:t> </w:t>
      </w:r>
      <w:r>
        <w:rPr>
          <w:rFonts w:ascii="Times New Roman" w:hAnsi="Times New Roman"/>
          <w:b w:val="false"/>
          <w:i/>
          <w:color w:val="000000"/>
          <w:sz w:val="22"/>
        </w:rPr>
        <w:t xml:space="preserve">Acceptability. </w:t>
      </w:r>
      <w:r>
        <w:rPr>
          <w:rFonts w:ascii="Times New Roman" w:hAnsi="Times New Roman"/>
          <w:b w:val="false"/>
          <w:i w:val="false"/>
          <w:color w:val="000000"/>
          <w:sz w:val="22"/>
        </w:rPr>
        <w:t xml:space="preserve">(Iowa Code section </w:t>
      </w:r>
      <w:hyperlink r:id="rId33">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“k”</w:t>
      </w:r>
      <w:r>
        <w:rPr>
          <w:rFonts w:ascii="Times New Roman" w:hAnsi="Times New Roman"/>
          <w:b w:val="false"/>
          <w:i w:val="false"/>
          <w:color w:val="000000"/>
          <w:sz w:val="22"/>
        </w:rPr>
        <w:t>) Providers of CT services should indicate a willingness to observe the rights of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441—124.4</w:t>
      </w:r>
      <w:r>
        <w:rPr>
          <w:rFonts w:ascii="Times New Roman" w:hAnsi="Times New Roman"/>
          <w:b/>
          <w:i w:val="false"/>
          <w:color w:val="000000"/>
          <w:sz w:val="22"/>
        </w:rPr>
        <w:t xml:space="preserve">(135) </w:t>
      </w:r>
      <w:r>
        <w:rPr>
          <w:rFonts w:ascii="Times New Roman" w:hAnsi="Times New Roman"/>
          <w:b/>
          <w:i w:val="false"/>
          <w:color w:val="000000"/>
          <w:sz w:val="22"/>
        </w:rPr>
        <w:t xml:space="preserve">Long-term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standards are measures of criteria found in Iowa Code section </w:t>
      </w:r>
      <w:hyperlink r:id="rId34">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“g.”</w:t>
      </w:r>
      <w:r>
        <w:rPr>
          <w:rFonts w:ascii="Times New Roman" w:hAnsi="Times New Roman"/>
          <w:b w:val="false"/>
          <w:i w:val="false"/>
          <w:color w:val="000000"/>
          <w:sz w:val="22"/>
        </w:rPr>
        <w:t xml:space="preserve">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standards include applications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Construct, develop, offer new, modernize, replace, renovate, or relocate intermediate care or skilled nursing care beds in nursing homes or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Expand bed capacity in intermediate care or skilled nursing care facilities or designated units in hospitals.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the terms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“Intermediate care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“ICF”</w:t>
      </w:r>
      <w:r>
        <w:rPr>
          <w:rFonts w:ascii="Times New Roman" w:hAnsi="Times New Roman"/>
          <w:b w:val="false"/>
          <w:i w:val="false"/>
          <w:color w:val="000000"/>
          <w:sz w:val="22"/>
        </w:rPr>
        <w:t> </w:t>
      </w:r>
      <w:r>
        <w:rPr>
          <w:rFonts w:ascii="Times New Roman" w:hAnsi="Times New Roman"/>
          <w:b w:val="false"/>
          <w:i w:val="false"/>
          <w:color w:val="000000"/>
          <w:sz w:val="22"/>
        </w:rPr>
        <w:t>means any institution, place, building, or agency providing for a period exceeding 24 consecutive hours accommodation, board, and nursing services, the need for which is certified by a physician, to three or more individuals, not related to the administrator or owner thereof within the third degree of consanguinity, who by reason of illness, disease, or physical or mental infirmity require nursing services that can be provided only under the direction of a registered nurse or a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“Skilled nursing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“SNF”</w:t>
      </w:r>
      <w:r>
        <w:rPr>
          <w:rFonts w:ascii="Times New Roman" w:hAnsi="Times New Roman"/>
          <w:b w:val="false"/>
          <w:i w:val="false"/>
          <w:color w:val="000000"/>
          <w:sz w:val="22"/>
        </w:rPr>
        <w:t> </w:t>
      </w:r>
      <w:r>
        <w:rPr>
          <w:rFonts w:ascii="Times New Roman" w:hAnsi="Times New Roman"/>
          <w:b w:val="false"/>
          <w:i w:val="false"/>
          <w:color w:val="000000"/>
          <w:sz w:val="22"/>
        </w:rPr>
        <w:t>means any institution, place, building, or agency providing for a period exceeding 24 consecutive hours accommodation, board, and nursing services, the need for which is certified by a physician, to three or more individuals not related to the administrator or owner thereof within the third degree of consanguinity who by reason of illness, disease, or physical or mental infirmity require continuous nursing care services and related medical services but do not require hospital care. The nursing care services provided must be under the direction of a registered nurse on a 24-hour-per-day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124.4(3)</w:t>
      </w:r>
      <w:r>
        <w:rPr>
          <w:rFonts w:ascii="Times New Roman" w:hAnsi="Times New Roman"/>
          <w:b w:val="false"/>
          <w:i w:val="false"/>
          <w:color w:val="000000"/>
          <w:sz w:val="22"/>
        </w:rPr>
        <w:t> </w:t>
      </w:r>
      <w:r>
        <w:rPr>
          <w:rFonts w:ascii="Times New Roman" w:hAnsi="Times New Roman"/>
          <w:b w:val="false"/>
          <w:i/>
          <w:color w:val="000000"/>
          <w:sz w:val="22"/>
        </w:rPr>
        <w:t xml:space="preserve">Availability and need. </w:t>
      </w:r>
      <w:r>
        <w:rPr>
          <w:rFonts w:ascii="Times New Roman" w:hAnsi="Times New Roman"/>
          <w:b w:val="false"/>
          <w:i w:val="false"/>
          <w:color w:val="000000"/>
          <w:sz w:val="22"/>
        </w:rPr>
        <w:t xml:space="preserve">(Iowa Code section </w:t>
      </w:r>
      <w:hyperlink r:id="rId35">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formula will be used as a means of projecting the approximate number of beds needed by level of care (intermediate or skilled nursing care) to serve the projected population one year into the future using county-level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County-level bed need = County-level bed-days / days in time period</w:t>
      </w:r>
    </w:p>
    <w:p>
      <w:pPr>
        <w:spacing w:before="0" w:after="0"/>
        <w:ind w:left="120"/>
        <w:jc w:val="both"/>
      </w:pPr>
      <w:r>
        <w:rPr>
          <w:rFonts w:ascii="Times New Roman" w:hAnsi="Times New Roman"/>
          <w:b w:val="false"/>
          <w:i w:val="false"/>
          <w:color w:val="000000"/>
          <w:sz w:val="22"/>
        </w:rPr>
        <w:t>County-level bed-days = exp(Linear Predictor)</w:t>
      </w:r>
    </w:p>
    <w:p>
      <w:pPr>
        <w:spacing w:before="0" w:after="0"/>
        <w:ind w:left="120"/>
        <w:jc w:val="both"/>
      </w:pPr>
      <w:r>
        <w:rPr>
          <w:rFonts w:ascii="Times New Roman" w:hAnsi="Times New Roman"/>
          <w:b w:val="false"/>
          <w:i w:val="false"/>
          <w:color w:val="000000"/>
          <w:sz w:val="22"/>
        </w:rPr>
        <w:t>Linear Predictor = Intercept</w:t>
      </w:r>
    </w:p>
    <w:p>
      <w:pPr>
        <w:spacing w:before="0" w:after="0"/>
        <w:ind w:left="120"/>
        <w:jc w:val="both"/>
      </w:pPr>
      <w:r>
        <w:rPr>
          <w:rFonts w:ascii="Times New Roman" w:hAnsi="Times New Roman"/>
          <w:b w:val="false"/>
          <w:i w:val="false"/>
          <w:color w:val="000000"/>
          <w:sz w:val="22"/>
        </w:rPr>
        <w:t>+ Weight for Log of Total Population × Log of Total Population</w:t>
      </w:r>
    </w:p>
    <w:p>
      <w:pPr>
        <w:spacing w:before="0" w:after="0"/>
        <w:ind w:left="120"/>
        <w:jc w:val="both"/>
      </w:pPr>
      <w:r>
        <w:rPr>
          <w:rFonts w:ascii="Times New Roman" w:hAnsi="Times New Roman"/>
          <w:b w:val="false"/>
          <w:i w:val="false"/>
          <w:color w:val="000000"/>
          <w:sz w:val="22"/>
        </w:rPr>
        <w:t>+ Weight for Percent age 65-74 × Percent age 65-74</w:t>
      </w:r>
    </w:p>
    <w:p>
      <w:pPr>
        <w:spacing w:before="0" w:after="0"/>
        <w:ind w:left="120"/>
        <w:jc w:val="both"/>
      </w:pPr>
      <w:r>
        <w:rPr>
          <w:rFonts w:ascii="Times New Roman" w:hAnsi="Times New Roman"/>
          <w:b w:val="false"/>
          <w:i w:val="false"/>
          <w:color w:val="000000"/>
          <w:sz w:val="22"/>
        </w:rPr>
        <w:t>+ Weight for Percent age 75-84 × Percent age 75-84</w:t>
      </w:r>
    </w:p>
    <w:p>
      <w:pPr>
        <w:spacing w:before="0" w:after="0"/>
        <w:ind w:left="120"/>
        <w:jc w:val="both"/>
      </w:pPr>
      <w:r>
        <w:rPr>
          <w:rFonts w:ascii="Times New Roman" w:hAnsi="Times New Roman"/>
          <w:b w:val="false"/>
          <w:i w:val="false"/>
          <w:color w:val="000000"/>
          <w:sz w:val="22"/>
        </w:rPr>
        <w:t>+ Weight for Percent age 85 plus × Percent age 85 plus</w:t>
      </w:r>
    </w:p>
    <w:p>
      <w:pPr>
        <w:spacing w:before="0" w:after="0"/>
        <w:ind w:left="120"/>
        <w:jc w:val="both"/>
      </w:pPr>
      <w:r>
        <w:rPr>
          <w:rFonts w:ascii="Times New Roman" w:hAnsi="Times New Roman"/>
          <w:b w:val="false"/>
          <w:i w:val="false"/>
          <w:color w:val="000000"/>
          <w:sz w:val="22"/>
        </w:rPr>
        <w:t>+ Weight for Level of care × Level of care</w:t>
      </w:r>
    </w:p>
    <w:p>
      <w:pPr>
        <w:spacing w:before="0" w:after="0"/>
        <w:ind w:left="120"/>
        <w:jc w:val="both"/>
      </w:pPr>
      <w:r>
        <w:rPr>
          <w:rFonts w:ascii="Times New Roman" w:hAnsi="Times New Roman"/>
          <w:b w:val="false"/>
          <w:i w:val="false"/>
          <w:color w:val="000000"/>
          <w:sz w:val="22"/>
        </w:rPr>
        <w:t>+ Weight for Time Trend × Time Trend</w:t>
      </w:r>
    </w:p>
    <w:p>
      <w:pPr>
        <w:spacing w:before="0" w:after="0"/>
        <w:ind w:left="120"/>
        <w:jc w:val="both"/>
      </w:pPr>
      <w:r>
        <w:rPr>
          <w:rFonts w:ascii="Times New Roman" w:hAnsi="Times New Roman"/>
          <w:b w:val="false"/>
          <w:i w:val="false"/>
          <w:color w:val="000000"/>
          <w:sz w:val="22"/>
        </w:rPr>
        <w:t>+ Weight for Level of care × Time Trend × Level of care × Time Trend</w:t>
      </w:r>
    </w:p>
    <w:p>
      <w:pPr>
        <w:spacing w:before="0" w:after="0"/>
        <w:ind w:left="120"/>
        <w:jc w:val="both"/>
      </w:pPr>
      <w:r>
        <w:rPr>
          <w:rFonts w:ascii="Times New Roman" w:hAnsi="Times New Roman"/>
          <w:b w:val="false"/>
          <w:i w:val="false"/>
          <w:color w:val="000000"/>
          <w:sz w:val="22"/>
        </w:rPr>
        <w:t>+ Month effect for applicable month</w:t>
      </w:r>
    </w:p>
    <w:p>
      <w:pPr>
        <w:spacing w:before="0" w:after="0"/>
        <w:ind w:left="120"/>
        <w:jc w:val="both"/>
      </w:pPr>
      <w:r>
        <w:rPr>
          <w:rFonts w:ascii="Times New Roman" w:hAnsi="Times New Roman"/>
          <w:b w:val="false"/>
          <w:i w:val="false"/>
          <w:color w:val="000000"/>
          <w:sz w:val="22"/>
        </w:rPr>
        <w:t>+ County effect for applicable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using this formula, the lower and upper bounds of the weights for each variable in this section can be found on the department’s website at </w:t>
      </w:r>
      <w:hyperlink r:id="rId36">
        <w:r>
          <w:rPr>
            <w:rStyle w:val="Hyperlink"/>
            <w:rFonts w:ascii="Times New Roman" w:hAnsi="Times New Roman"/>
            <w:b w:val="false"/>
            <w:i w:val="false"/>
            <w:color w:val="000000"/>
            <w:sz w:val="22"/>
            <w:u w:val="single"/>
          </w:rPr>
          <w:t>hhs.iowa.gov/certificate-need-con-program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Bed need formula projections will consider county of facility, seasonal variation in need, age range of population, future population change projections, and other relevant factors and controls.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bed need formula at least every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purposes of comparing “need” to “existing” beds in a given county, the following shall be considered in the calculation of “existing” beds: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ICF and SNF beds licensed at freestanding facilities in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Additional ICF and SNF beds previously approved through certificate of need but not yet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ICF and SNF beds in designated units in hospitals in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statistical calculation of bed need shall serve as a guideline for the department in reviewing need for the proposed long-term care beds. Other factors that may be considered by the department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availability and utilization of other ICF and SNF services in the county or within an applicant’s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availability and utilization of other long-term care services in nearby hospitals, such as skilled care available through the swing bed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availability of supportive living arrangements that may or may not be licensed as an RCF.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availability of home health and other in-home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availability of other services to the elderly.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availability of ICF and SNF services in neighboring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Utilization by out-of-state residents of facilities in counties bordering other states, where an applicant provides evidence that in-migration of long-term care patients exceeds out-migration to the bordering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Programs and services directed at special populations whose needs cannot otherwise be met or whose needs cannot be met cost-effectively at other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documenting need for a project, an applicant shall identify the service area and target population, including a description of the methodology used by the applicant in determining need for the requested beds and the expected sources of referrals. The applicant shall document that the number of beds requested is appropriate to address the identified need. The applicant shall also identify how the target population is currently being cared for and what hardship is being experienced by the absence of the proposed beds.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124.4(4)</w:t>
      </w:r>
      <w:r>
        <w:rPr>
          <w:rFonts w:ascii="Times New Roman" w:hAnsi="Times New Roman"/>
          <w:b w:val="false"/>
          <w:i w:val="false"/>
          <w:color w:val="000000"/>
          <w:sz w:val="22"/>
        </w:rPr>
        <w:t> </w:t>
      </w:r>
      <w:r>
        <w:rPr>
          <w:rFonts w:ascii="Times New Roman" w:hAnsi="Times New Roman"/>
          <w:b w:val="false"/>
          <w:i/>
          <w:color w:val="000000"/>
          <w:sz w:val="22"/>
        </w:rPr>
        <w:t xml:space="preserve">Quality. </w:t>
      </w:r>
      <w:r>
        <w:rPr>
          <w:rFonts w:ascii="Times New Roman" w:hAnsi="Times New Roman"/>
          <w:b w:val="false"/>
          <w:i w:val="false"/>
          <w:color w:val="000000"/>
          <w:sz w:val="22"/>
        </w:rPr>
        <w:t xml:space="preserve">(Iowa Code section </w:t>
      </w:r>
      <w:hyperlink r:id="rId37">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 An applicant shall document that the applicant has contacted the health and safety division of the department of inspections, appeals, and licensing to conform with physical standards, staffing requirements, and other licensing requirements to assess the potential for provision of quality care at the facility. When necessary, the applicant shall attempt to arrange an on-site visit to the facility to determine compliance with physical requirements and shall provide documentation of this site visit or attempts to arrange such a site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124.4(5)</w:t>
      </w:r>
      <w:r>
        <w:rPr>
          <w:rFonts w:ascii="Times New Roman" w:hAnsi="Times New Roman"/>
          <w:b w:val="false"/>
          <w:i w:val="false"/>
          <w:color w:val="000000"/>
          <w:sz w:val="22"/>
        </w:rPr>
        <w:t> </w:t>
      </w:r>
      <w:r>
        <w:rPr>
          <w:rFonts w:ascii="Times New Roman" w:hAnsi="Times New Roman"/>
          <w:b w:val="false"/>
          <w:i/>
          <w:color w:val="000000"/>
          <w:sz w:val="22"/>
        </w:rPr>
        <w:t xml:space="preserve">Continuity. </w:t>
      </w:r>
      <w:r>
        <w:rPr>
          <w:rFonts w:ascii="Times New Roman" w:hAnsi="Times New Roman"/>
          <w:b w:val="false"/>
          <w:i w:val="false"/>
          <w:color w:val="000000"/>
          <w:sz w:val="22"/>
        </w:rPr>
        <w:t xml:space="preserve">(Iowa Code section </w:t>
      </w:r>
      <w:hyperlink r:id="rId38">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shall document the relationship of the facility’s proposed services to other health and long-term care services in the community, such as physician and hospital services, habilitation, rehabilitation, transportation or other services. The facility should be capable of providing or arranging for the provision of a continuum of long-term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facility should be capable of providing or arranging for the provision of a comprehensive program of coordinated patient services. An applicant shall provide evidence of contracts for services, appropriate staffing patterns and ratios, and licensure of personnel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124.4(6)</w:t>
      </w:r>
      <w:r>
        <w:rPr>
          <w:rFonts w:ascii="Times New Roman" w:hAnsi="Times New Roman"/>
          <w:b w:val="false"/>
          <w:i w:val="false"/>
          <w:color w:val="000000"/>
          <w:sz w:val="22"/>
        </w:rPr>
        <w:t> </w:t>
      </w:r>
      <w:r>
        <w:rPr>
          <w:rFonts w:ascii="Times New Roman" w:hAnsi="Times New Roman"/>
          <w:b w:val="false"/>
          <w:i/>
          <w:color w:val="000000"/>
          <w:sz w:val="22"/>
        </w:rPr>
        <w:t xml:space="preserve">Accessibility and acceptability. </w:t>
      </w:r>
      <w:r>
        <w:rPr>
          <w:rFonts w:ascii="Times New Roman" w:hAnsi="Times New Roman"/>
          <w:b w:val="false"/>
          <w:i w:val="false"/>
          <w:color w:val="000000"/>
          <w:sz w:val="22"/>
        </w:rPr>
        <w:t xml:space="preserve">(Iowa Code section </w:t>
      </w:r>
      <w:hyperlink r:id="rId39">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Population subgroups that have traditionally been underserved, such as adolescents, the elderly, women, racial minorities, mentally ill, intellectually disabled, and developmentally disabled, should be considered when planning for or reviewing long-term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shall document to what extent Medicaid patients will be served by the proposed beds, using past Medicaid utilization as an indicator or, in the case of a new facility, projecting anticipated Medicaid utilization.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124.4(7)</w:t>
      </w:r>
      <w:r>
        <w:rPr>
          <w:rFonts w:ascii="Times New Roman" w:hAnsi="Times New Roman"/>
          <w:b w:val="false"/>
          <w:i w:val="false"/>
          <w:color w:val="000000"/>
          <w:sz w:val="22"/>
        </w:rPr>
        <w:t> </w:t>
      </w:r>
      <w:r>
        <w:rPr>
          <w:rFonts w:ascii="Times New Roman" w:hAnsi="Times New Roman"/>
          <w:b w:val="false"/>
          <w:i/>
          <w:color w:val="000000"/>
          <w:sz w:val="22"/>
        </w:rPr>
        <w:t xml:space="preserve">Costs and financial feasibility. </w:t>
      </w:r>
      <w:r>
        <w:rPr>
          <w:rFonts w:ascii="Times New Roman" w:hAnsi="Times New Roman"/>
          <w:b w:val="false"/>
          <w:i w:val="false"/>
          <w:color w:val="000000"/>
          <w:sz w:val="22"/>
        </w:rPr>
        <w:t xml:space="preserve">(Iowa Code section </w:t>
      </w:r>
      <w:hyperlink r:id="rId40">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“p”</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shall identify capital and operating costs associated with the project, identify sources of funding to cover those costs, and demonstrate that the project is financially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Construction costs shall be in line with construction costs of other similar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shall provide budgets for the first three years of operation, including documentation of all assumptions used. The budget shall include anticipated sources of revenue, including the percentage of revenue from private pay, Medicaid, Medicare and other patient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Proposed charges per patient day should be justifiable when compared to current charges of other similarly licensed facilities in an applicant’s service area or other similar facilities elsewhere in the state. If charges are significantly higher or lower, the applicant shall provide a description of proposed programs or services that explain the difference in charges.</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41">
        <w:r>
          <w:rPr>
            <w:rStyle w:val="Hyperlink"/>
            <w:rFonts w:ascii="Times New Roman" w:hAnsi="Times New Roman"/>
            <w:b w:val="false"/>
            <w:i w:val="false"/>
            <w:color w:val="000000"/>
            <w:sz w:val="22"/>
          </w:rPr>
          <w:t>135.71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441—124.5</w:t>
      </w:r>
      <w:r>
        <w:rPr>
          <w:rFonts w:ascii="Times New Roman" w:hAnsi="Times New Roman"/>
          <w:b/>
          <w:i w:val="false"/>
          <w:color w:val="000000"/>
          <w:sz w:val="22"/>
        </w:rPr>
        <w:t xml:space="preserve">(135) </w:t>
      </w:r>
      <w:r>
        <w:rPr>
          <w:rFonts w:ascii="Times New Roman" w:hAnsi="Times New Roman"/>
          <w:b/>
          <w:i w:val="false"/>
          <w:color w:val="000000"/>
          <w:sz w:val="22"/>
        </w:rPr>
        <w:t xml:space="preserve">MRI services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standards are measures of some of those criteria in Iowa Code section </w:t>
      </w:r>
      <w:hyperlink r:id="rId42">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“q.”</w:t>
      </w:r>
      <w:r>
        <w:rPr>
          <w:rFonts w:ascii="Times New Roman" w:hAnsi="Times New Roman"/>
          <w:b w:val="false"/>
          <w:i w:val="false"/>
          <w:color w:val="000000"/>
          <w:sz w:val="22"/>
        </w:rPr>
        <w:t xml:space="preserve">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standards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Proposals to commence or expand the capacity of magnetic resonance imaging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Proposals to replace a magnetic resonance imaging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applications that relate to magnetic resonance imaging.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the terms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“Area”</w:t>
      </w:r>
      <w:r>
        <w:rPr>
          <w:rFonts w:ascii="Times New Roman" w:hAnsi="Times New Roman"/>
          <w:b w:val="false"/>
          <w:i w:val="false"/>
          <w:color w:val="000000"/>
          <w:sz w:val="22"/>
        </w:rPr>
        <w:t> </w:t>
      </w:r>
      <w:r>
        <w:rPr>
          <w:rFonts w:ascii="Times New Roman" w:hAnsi="Times New Roman"/>
          <w:b w:val="false"/>
          <w:i w:val="false"/>
          <w:color w:val="000000"/>
          <w:sz w:val="22"/>
        </w:rPr>
        <w:t>means the community or a metropolitan statistical area (as defined by the U.S. Office of Management and Budget and used by the U.S. Census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“Computed tomography”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“CT”</w:t>
      </w:r>
      <w:r>
        <w:rPr>
          <w:rFonts w:ascii="Times New Roman" w:hAnsi="Times New Roman"/>
          <w:b w:val="false"/>
          <w:i w:val="false"/>
          <w:color w:val="000000"/>
          <w:sz w:val="22"/>
        </w:rPr>
        <w:t> </w:t>
      </w:r>
      <w:r>
        <w:rPr>
          <w:rFonts w:ascii="Times New Roman" w:hAnsi="Times New Roman"/>
          <w:b w:val="false"/>
          <w:i w:val="false"/>
          <w:color w:val="000000"/>
          <w:sz w:val="22"/>
        </w:rPr>
        <w:t>means an imaging method in which a cross-sectional image of the structures in a body plane is reconstructed by a computer program from the X-ray absorption of beams projected through the body in the image plane.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“CT procedure”</w:t>
      </w:r>
      <w:r>
        <w:rPr>
          <w:rFonts w:ascii="Times New Roman" w:hAnsi="Times New Roman"/>
          <w:b w:val="false"/>
          <w:i w:val="false"/>
          <w:color w:val="000000"/>
          <w:sz w:val="22"/>
        </w:rPr>
        <w:t> </w:t>
      </w:r>
      <w:r>
        <w:rPr>
          <w:rFonts w:ascii="Times New Roman" w:hAnsi="Times New Roman"/>
          <w:b w:val="false"/>
          <w:i w:val="false"/>
          <w:color w:val="000000"/>
          <w:sz w:val="22"/>
        </w:rPr>
        <w:t>means a CT study of a single site of anatomic interest during an individual patient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“Magnetic resonance imaging”</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“MRI”</w:t>
      </w:r>
      <w:r>
        <w:rPr>
          <w:rFonts w:ascii="Times New Roman" w:hAnsi="Times New Roman"/>
          <w:b w:val="false"/>
          <w:i w:val="false"/>
          <w:color w:val="000000"/>
          <w:sz w:val="22"/>
        </w:rPr>
        <w:t> </w:t>
      </w:r>
      <w:r>
        <w:rPr>
          <w:rFonts w:ascii="Times New Roman" w:hAnsi="Times New Roman"/>
          <w:b w:val="false"/>
          <w:i w:val="false"/>
          <w:color w:val="000000"/>
          <w:sz w:val="22"/>
        </w:rPr>
        <w:t>means a diagnostic modality that employs a combination of magnetic and radio frequency fields and computers to produce images of body organs and tissues.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“MRI procedure”</w:t>
      </w:r>
      <w:r>
        <w:rPr>
          <w:rFonts w:ascii="Times New Roman" w:hAnsi="Times New Roman"/>
          <w:b w:val="false"/>
          <w:i w:val="false"/>
          <w:color w:val="000000"/>
          <w:sz w:val="22"/>
        </w:rPr>
        <w:t> </w:t>
      </w:r>
      <w:r>
        <w:rPr>
          <w:rFonts w:ascii="Times New Roman" w:hAnsi="Times New Roman"/>
          <w:b w:val="false"/>
          <w:i w:val="false"/>
          <w:color w:val="000000"/>
          <w:sz w:val="22"/>
        </w:rPr>
        <w:t>means each discrete MRI study of one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“MRI unit”</w:t>
      </w:r>
      <w:r>
        <w:rPr>
          <w:rFonts w:ascii="Times New Roman" w:hAnsi="Times New Roman"/>
          <w:b w:val="false"/>
          <w:i w:val="false"/>
          <w:color w:val="000000"/>
          <w:sz w:val="22"/>
        </w:rPr>
        <w:t> </w:t>
      </w:r>
      <w:r>
        <w:rPr>
          <w:rFonts w:ascii="Times New Roman" w:hAnsi="Times New Roman"/>
          <w:b w:val="false"/>
          <w:i w:val="false"/>
          <w:color w:val="000000"/>
          <w:sz w:val="22"/>
        </w:rPr>
        <w:t>means the essential equipment and facility necessary to operate one MRI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124.5(3)</w:t>
      </w:r>
      <w:r>
        <w:rPr>
          <w:rFonts w:ascii="Times New Roman" w:hAnsi="Times New Roman"/>
          <w:b w:val="false"/>
          <w:i w:val="false"/>
          <w:color w:val="000000"/>
          <w:sz w:val="22"/>
        </w:rPr>
        <w:t> </w:t>
      </w:r>
      <w:r>
        <w:rPr>
          <w:rFonts w:ascii="Times New Roman" w:hAnsi="Times New Roman"/>
          <w:b w:val="false"/>
          <w:i/>
          <w:color w:val="000000"/>
          <w:sz w:val="22"/>
        </w:rPr>
        <w:t xml:space="preserve">Availability and need. </w:t>
      </w:r>
      <w:r>
        <w:rPr>
          <w:rFonts w:ascii="Times New Roman" w:hAnsi="Times New Roman"/>
          <w:b w:val="false"/>
          <w:i w:val="false"/>
          <w:color w:val="000000"/>
          <w:sz w:val="22"/>
        </w:rPr>
        <w:t xml:space="preserve">(Iowa Code section </w:t>
      </w:r>
      <w:hyperlink r:id="rId43">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in an area with no other MRI units. The applicant must document a future utilization of reasonably projected MRI procedure volume for the fiscal year period after projected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in an area with one or more MRI units currently in operation or approved by certificate of need for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must meet the requirement of need described in paragraph </w:t>
      </w:r>
      <w:hyperlink r:id="rId44">
        <w:r>
          <w:rPr>
            <w:rStyle w:val="Hyperlink"/>
            <w:rFonts w:ascii="Times New Roman" w:hAnsi="Times New Roman"/>
            <w:b w:val="false"/>
            <w:i w:val="false"/>
            <w:color w:val="000000"/>
            <w:sz w:val="22"/>
          </w:rPr>
          <w:t>124.5(3)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other MRI unit(s) within the area must have been operating at a minimum of 2,000 MRI procedures annually (or 500 in three months) or proportionately more if the MRI unit runs more than one ten-hour shift.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annual utilization of the other MRI unit(s) within the area has been below 2,000 procedures, future utilization above that current level must be reasonably projected or reasons for permanently utilizing the equipment below the 2,000 procedure level must be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seeking to replace an MRI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must demonstrate that the existing MRI unit has been operating at the level of at least 3,000 procedures during the most recent annual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applicant’s annual utilization has been below 2,000 procedures, the applicant must reasonably project future utilization above that level or demonstrate reasons for permanently utilizing the equipment below that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seeking to add an additional MRI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must demonstrate that the existing MRI unit(s) has been operating at the level of at least 3,500 procedures during the most recent annual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must demonstrate that the demand significantly exceeds the 2,000 procedures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applicant’s annual utilization has been below 2,000 procedures, the applicant must reasonably project future utilization above that level or demonstrate reasons for permanently utilizing the equipment below that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124.5(4)</w:t>
      </w:r>
      <w:r>
        <w:rPr>
          <w:rFonts w:ascii="Times New Roman" w:hAnsi="Times New Roman"/>
          <w:b w:val="false"/>
          <w:i w:val="false"/>
          <w:color w:val="000000"/>
          <w:sz w:val="22"/>
        </w:rPr>
        <w:t> </w:t>
      </w:r>
      <w:r>
        <w:rPr>
          <w:rFonts w:ascii="Times New Roman" w:hAnsi="Times New Roman"/>
          <w:b w:val="false"/>
          <w:i/>
          <w:color w:val="000000"/>
          <w:sz w:val="22"/>
        </w:rPr>
        <w:t xml:space="preserve">Quality and continuity. </w:t>
      </w:r>
      <w:r>
        <w:rPr>
          <w:rFonts w:ascii="Times New Roman" w:hAnsi="Times New Roman"/>
          <w:b w:val="false"/>
          <w:i w:val="false"/>
          <w:color w:val="000000"/>
          <w:sz w:val="22"/>
        </w:rPr>
        <w:t xml:space="preserve">(Iowa Code section </w:t>
      </w:r>
      <w:hyperlink r:id="rId45">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proposed MRI unit should function as a component of a comprehensive inpatient or outpatient diagnostic service. The proposed MRI unit must have the following modalities on-site or through referral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Ultrasound.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Computed tomography.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Angiography.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Nuclear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Conventional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MRI unit must be located in a facility that has, either in-house or through referral arrangement, the resources necessary to treat most of the conditions diagnosed or confirmed by MRI. The following medical specialties must be available during MRI service hours on-site or by referral arrangements: neurology or neurosurgery, oncology and cardiology.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proposal to provide a new or an expanded MRI must include satisfactory assurances that the services will be offered in a physical environment that conforms to federal standards, manufacturer’s specifications, and licensing agencies’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must provide evidence that the proposed MRI equipment has been certified for clinical use by the U.S. Food and Drug Administration or will be operated under the approval and authority of an institutional review board whose membership is consistent with U.S. Department of Health and Human Services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applicant for MRI should document that the necessary qualified staff are available to operate the proposed unit. The following minimum staff will be available to the MRI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board-eligible or board-certified radiologist or any other board-eligible or board-certified licensed physician whose exclusive responsibility for at least a two-year period prior to submission of a certificate of need request has been in the acquisition and interpretation of clinical images. This individual shall have a knowledge of MRI through training, experience, or documented postgraduate education. The individual shall also have training with a functional MRI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Qualified engineering personnel, available to the institution during MRI service hours, with training and experience in the operation and maintenance of the MRI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Diagnostic radiologic technologists or other certified technologists with expertise in CT or other cross-sectional imaging methods at a staffing level consistent with the hospital’s expected MRI service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appropriate physicians shall be available during MRI service hours in clinical specialties, such as neurology or neurosurgery, oncology and cardiology.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applicant shall demonstrate how emergencies within the MRI unit will be managed in conformity with accepted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and acceptability. </w:t>
      </w:r>
      <w:r>
        <w:rPr>
          <w:rFonts w:ascii="Times New Roman" w:hAnsi="Times New Roman"/>
          <w:b w:val="false"/>
          <w:i w:val="false"/>
          <w:color w:val="000000"/>
          <w:sz w:val="22"/>
        </w:rPr>
        <w:t xml:space="preserve">(Iowa Code section </w:t>
      </w:r>
      <w:hyperlink r:id="rId46">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MRI facility should have adequate scheduled hours to avoid an excessive backlog of cases and to meet the needs of the communities the scanners are meant to 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Selection of patients for clinical MRI studies must guarantee equal access to all persons regardless of insurance coverage or 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124.5(6)</w:t>
      </w:r>
      <w:r>
        <w:rPr>
          <w:rFonts w:ascii="Times New Roman" w:hAnsi="Times New Roman"/>
          <w:b w:val="false"/>
          <w:i w:val="false"/>
          <w:color w:val="000000"/>
          <w:sz w:val="22"/>
        </w:rPr>
        <w:t> </w:t>
      </w:r>
      <w:r>
        <w:rPr>
          <w:rFonts w:ascii="Times New Roman" w:hAnsi="Times New Roman"/>
          <w:b w:val="false"/>
          <w:i/>
          <w:color w:val="000000"/>
          <w:sz w:val="22"/>
        </w:rPr>
        <w:t xml:space="preserve">Costs and financial feasibility. </w:t>
      </w:r>
      <w:r>
        <w:rPr>
          <w:rFonts w:ascii="Times New Roman" w:hAnsi="Times New Roman"/>
          <w:b w:val="false"/>
          <w:i w:val="false"/>
          <w:color w:val="000000"/>
          <w:sz w:val="22"/>
        </w:rPr>
        <w:t xml:space="preserve">(Iowa Code section </w:t>
      </w:r>
      <w:hyperlink r:id="rId47">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“p”</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shall identify capital and operating costs associated with the proposed MRI unit, identify sources of funding to cover those costs, and demonstrate that the project is financially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shall provide budgets for the first three years of operation, including documentation and justification of all assumptions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must document its projected average cost per procedure and charge per procedure for the first three years. Charges for an MRI should be reasonably related to service cost and comparable to MRI charges at other facilities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shall demonstrate that alternatives were considered and the proposed application is the most cost-effective and will accomplish the goals of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441—124.6</w:t>
      </w:r>
      <w:r>
        <w:rPr>
          <w:rFonts w:ascii="Times New Roman" w:hAnsi="Times New Roman"/>
          <w:b/>
          <w:i w:val="false"/>
          <w:color w:val="000000"/>
          <w:sz w:val="22"/>
        </w:rPr>
        <w:t xml:space="preserve">(135) </w:t>
      </w:r>
      <w:r>
        <w:rPr>
          <w:rFonts w:ascii="Times New Roman" w:hAnsi="Times New Roman"/>
          <w:b/>
          <w:i w:val="false"/>
          <w:color w:val="000000"/>
          <w:sz w:val="22"/>
        </w:rPr>
        <w:t xml:space="preserve">PET services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124.6(1)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standards are measures of some of those criteria in Iowa Code section </w:t>
      </w:r>
      <w:hyperlink r:id="rId48">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“q.”</w:t>
      </w:r>
      <w:r>
        <w:rPr>
          <w:rFonts w:ascii="Times New Roman" w:hAnsi="Times New Roman"/>
          <w:b w:val="false"/>
          <w:i w:val="false"/>
          <w:color w:val="000000"/>
          <w:sz w:val="22"/>
        </w:rPr>
        <w:t xml:space="preserve">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standards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Proposals to commence or expand the capacity of positron emission tomography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Proposals to replace a positron emission tomography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applications that relate to positron emission tomography.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124.6(2)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the terms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“Area”</w:t>
      </w:r>
      <w:r>
        <w:rPr>
          <w:rFonts w:ascii="Times New Roman" w:hAnsi="Times New Roman"/>
          <w:b w:val="false"/>
          <w:i w:val="false"/>
          <w:color w:val="000000"/>
          <w:sz w:val="22"/>
        </w:rPr>
        <w:t> </w:t>
      </w:r>
      <w:r>
        <w:rPr>
          <w:rFonts w:ascii="Times New Roman" w:hAnsi="Times New Roman"/>
          <w:b w:val="false"/>
          <w:i w:val="false"/>
          <w:color w:val="000000"/>
          <w:sz w:val="22"/>
        </w:rPr>
        <w:t>means the community or a metropolitan statistical area (as defined by the U.S. Office of Management and Budget and used by the U.S. Census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“Computed tomography”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“CT”</w:t>
      </w:r>
      <w:r>
        <w:rPr>
          <w:rFonts w:ascii="Times New Roman" w:hAnsi="Times New Roman"/>
          <w:b w:val="false"/>
          <w:i w:val="false"/>
          <w:color w:val="000000"/>
          <w:sz w:val="22"/>
        </w:rPr>
        <w:t> </w:t>
      </w:r>
      <w:r>
        <w:rPr>
          <w:rFonts w:ascii="Times New Roman" w:hAnsi="Times New Roman"/>
          <w:b w:val="false"/>
          <w:i w:val="false"/>
          <w:color w:val="000000"/>
          <w:sz w:val="22"/>
        </w:rPr>
        <w:t>means an imaging method in which a cross-sectional image of the structures in a body plane is reconstructed by a computer program from the X-ray absorption of beams projected through the body in the image plane.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“Cyclotron”</w:t>
      </w:r>
      <w:r>
        <w:rPr>
          <w:rFonts w:ascii="Times New Roman" w:hAnsi="Times New Roman"/>
          <w:b w:val="false"/>
          <w:i w:val="false"/>
          <w:color w:val="000000"/>
          <w:sz w:val="22"/>
        </w:rPr>
        <w:t> </w:t>
      </w:r>
      <w:r>
        <w:rPr>
          <w:rFonts w:ascii="Times New Roman" w:hAnsi="Times New Roman"/>
          <w:b w:val="false"/>
          <w:i w:val="false"/>
          <w:color w:val="000000"/>
          <w:sz w:val="22"/>
        </w:rPr>
        <w:t>means an apparatus for accelerating protons or neutrons to high energies by means of a constant magnet and an oscillating electric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“Magnetic resonance imaging”</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“MRI”</w:t>
      </w:r>
      <w:r>
        <w:rPr>
          <w:rFonts w:ascii="Times New Roman" w:hAnsi="Times New Roman"/>
          <w:b w:val="false"/>
          <w:i w:val="false"/>
          <w:color w:val="000000"/>
          <w:sz w:val="22"/>
        </w:rPr>
        <w:t> </w:t>
      </w:r>
      <w:r>
        <w:rPr>
          <w:rFonts w:ascii="Times New Roman" w:hAnsi="Times New Roman"/>
          <w:b w:val="false"/>
          <w:i w:val="false"/>
          <w:color w:val="000000"/>
          <w:sz w:val="22"/>
        </w:rPr>
        <w:t>means a diagnostic modality that employs a combination of magnetic and radio frequency fields and computers to produce images of body organs and tissues.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“PET procedure”</w:t>
      </w:r>
      <w:r>
        <w:rPr>
          <w:rFonts w:ascii="Times New Roman" w:hAnsi="Times New Roman"/>
          <w:b w:val="false"/>
          <w:i w:val="false"/>
          <w:color w:val="000000"/>
          <w:sz w:val="22"/>
        </w:rPr>
        <w:t> </w:t>
      </w:r>
      <w:r>
        <w:rPr>
          <w:rFonts w:ascii="Times New Roman" w:hAnsi="Times New Roman"/>
          <w:b w:val="false"/>
          <w:i w:val="false"/>
          <w:color w:val="000000"/>
          <w:sz w:val="22"/>
        </w:rPr>
        <w:t>means an image-scanning sequence derived from a single administration of PET, equated with a single injection of the tracer.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“Positron emission tomography”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“PET”</w:t>
      </w:r>
      <w:r>
        <w:rPr>
          <w:rFonts w:ascii="Times New Roman" w:hAnsi="Times New Roman"/>
          <w:b w:val="false"/>
          <w:i w:val="false"/>
          <w:color w:val="000000"/>
          <w:sz w:val="22"/>
        </w:rPr>
        <w:t> </w:t>
      </w:r>
      <w:r>
        <w:rPr>
          <w:rFonts w:ascii="Times New Roman" w:hAnsi="Times New Roman"/>
          <w:b w:val="false"/>
          <w:i w:val="false"/>
          <w:color w:val="000000"/>
          <w:sz w:val="22"/>
        </w:rPr>
        <w:t>means an imaging method in which positron-emitting radionuclides, which are produced either by a cyclotron or generator, and a nuclear camera are used to create pictures of organ function rather than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“Radiopharmaceutical”</w:t>
      </w:r>
      <w:r>
        <w:rPr>
          <w:rFonts w:ascii="Times New Roman" w:hAnsi="Times New Roman"/>
          <w:b w:val="false"/>
          <w:i w:val="false"/>
          <w:color w:val="000000"/>
          <w:sz w:val="22"/>
        </w:rPr>
        <w:t> </w:t>
      </w:r>
      <w:r>
        <w:rPr>
          <w:rFonts w:ascii="Times New Roman" w:hAnsi="Times New Roman"/>
          <w:b w:val="false"/>
          <w:i w:val="false"/>
          <w:color w:val="000000"/>
          <w:sz w:val="22"/>
        </w:rPr>
        <w:t>means a radioactive pharmaceutical used for diagnostic or therapeutic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“Single photon emission computed tomography”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“SPECT”</w:t>
      </w:r>
      <w:r>
        <w:rPr>
          <w:rFonts w:ascii="Times New Roman" w:hAnsi="Times New Roman"/>
          <w:b w:val="false"/>
          <w:i w:val="false"/>
          <w:color w:val="000000"/>
          <w:sz w:val="22"/>
        </w:rPr>
        <w:t> </w:t>
      </w:r>
      <w:r>
        <w:rPr>
          <w:rFonts w:ascii="Times New Roman" w:hAnsi="Times New Roman"/>
          <w:b w:val="false"/>
          <w:i w:val="false"/>
          <w:color w:val="000000"/>
          <w:sz w:val="22"/>
        </w:rPr>
        <w:t>means a camera-based imaging system using the radionuclides in the routine practice of nuclear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124.6(3)</w:t>
      </w:r>
      <w:r>
        <w:rPr>
          <w:rFonts w:ascii="Times New Roman" w:hAnsi="Times New Roman"/>
          <w:b w:val="false"/>
          <w:i w:val="false"/>
          <w:color w:val="000000"/>
          <w:sz w:val="22"/>
        </w:rPr>
        <w:t> </w:t>
      </w:r>
      <w:r>
        <w:rPr>
          <w:rFonts w:ascii="Times New Roman" w:hAnsi="Times New Roman"/>
          <w:b w:val="false"/>
          <w:i/>
          <w:color w:val="000000"/>
          <w:sz w:val="22"/>
        </w:rPr>
        <w:t xml:space="preserve">Availability and need. </w:t>
      </w:r>
      <w:r>
        <w:rPr>
          <w:rFonts w:ascii="Times New Roman" w:hAnsi="Times New Roman"/>
          <w:b w:val="false"/>
          <w:i w:val="false"/>
          <w:color w:val="000000"/>
          <w:sz w:val="22"/>
        </w:rPr>
        <w:t xml:space="preserve">(Iowa Code section </w:t>
      </w:r>
      <w:hyperlink r:id="rId49">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in an area with no other PET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should demonstrate a reasonable potential utilization of a PET unit based on diversified inpatient and outpatient case mix thresholds,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Intracranial cases.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Primary brain tumors: 50 per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Metastasis: 100 per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Cerebral vascular disease: 200 per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Organic brain disease and dementia/psychiatric diagnoses (including epilepsy-seizure disorders): 500 per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Spinal: 100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Cardiovascular cases.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Ischemic heart disease (including acute and chronic infarction): 1,200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Neoplasms (head, neck, thorax (excluding heart), abdomen, pelvic, prostate and musculoskeletal): 1,300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should have other diagnostic capabilities, on-site or through referral arrangements, with appropriate volumes including:</w:t>
      </w:r>
    </w:p>
    <w:tbl>
      <w:tblPr>
        <w:tblW w:w="0" w:type="auto"/>
        <w:tblCellSpacing w:w="0" w:type="auto"/>
        <w:tblBorders>
          <w:top w:val="none"/>
          <w:left w:val="none"/>
          <w:bottom w:val="none"/>
          <w:right w:val="none"/>
          <w:insideH w:val="none"/>
          <w:insideV w:val="none"/>
        </w:tblBorders>
        <w:tblLayout w:type="fixed"/>
      </w:tblPr>
      <w:tblGrid>
        <w:gridCol w:w="7803"/>
        <w:gridCol w:w="3387"/>
      </w:tblGrid>
      <w:tr>
        <w:trPr>
          <w:trHeight w:val="255" w:hRule="atLeast"/>
        </w:trPr>
        <w:tc>
          <w:tcPr>
            <w:tcW w:w="78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3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Proposed Threshold</w:t>
            </w:r>
          </w:p>
        </w:tc>
      </w:tr>
      <w:tr>
        <w:trPr>
          <w:trHeight w:val="255" w:hRule="atLeast"/>
        </w:trPr>
        <w:tc>
          <w:tcPr>
            <w:tcW w:w="78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Nuclear medicine imaging services</w:t>
            </w:r>
          </w:p>
        </w:tc>
        <w:tc>
          <w:tcPr>
            <w:tcW w:w="33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5,600</w:t>
            </w:r>
          </w:p>
        </w:tc>
      </w:tr>
      <w:tr>
        <w:trPr>
          <w:trHeight w:val="480" w:hRule="atLeast"/>
        </w:trPr>
        <w:tc>
          <w:tcPr>
            <w:tcW w:w="78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Single photon emission computed tomography </w:t>
            </w:r>
            <w:r>
              <w:br/>
            </w:r>
            <w:r>
              <w:rPr>
                <w:rFonts w:ascii="Times New Roman" w:hAnsi="Times New Roman"/>
                <w:b w:val="false"/>
                <w:i w:val="false"/>
                <w:color w:val="000000"/>
                <w:sz w:val="20"/>
              </w:rPr>
              <w:t>   (including brain, bone, liver, gallium and thallium stress)</w:t>
            </w:r>
          </w:p>
        </w:tc>
        <w:tc>
          <w:tcPr>
            <w:tcW w:w="33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1,600</w:t>
            </w:r>
          </w:p>
        </w:tc>
      </w:tr>
      <w:tr>
        <w:trPr>
          <w:trHeight w:val="255" w:hRule="atLeast"/>
        </w:trPr>
        <w:tc>
          <w:tcPr>
            <w:tcW w:w="78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CT</w:t>
            </w:r>
          </w:p>
        </w:tc>
        <w:tc>
          <w:tcPr>
            <w:tcW w:w="33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8,000</w:t>
            </w:r>
          </w:p>
        </w:tc>
      </w:tr>
      <w:tr>
        <w:trPr>
          <w:trHeight w:val="255" w:hRule="atLeast"/>
        </w:trPr>
        <w:tc>
          <w:tcPr>
            <w:tcW w:w="78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MRI</w:t>
            </w:r>
          </w:p>
        </w:tc>
        <w:tc>
          <w:tcPr>
            <w:tcW w:w="33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2,400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should demonstrate secondary and tertiary service capability, on-site or through referral arrangements, including cardiac surgery, cardiology, internal medicine, general surgery, hematology/oncology, neurology, pathology, thoracic surgery and 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in an area with one or more PET units currently in operation or approved by the certificate of need program for operation.</w:t>
      </w:r>
    </w:p>
    <w:p>
      <w:pPr>
        <w:spacing w:before="0" w:after="0"/>
        <w:ind w:left="120"/>
        <w:jc w:val="both"/>
      </w:pPr>
      <w:r>
        <w:rPr>
          <w:rFonts w:ascii="Times New Roman" w:hAnsi="Times New Roman"/>
          <w:b w:val="false"/>
          <w:i w:val="false"/>
          <w:color w:val="000000"/>
          <w:sz w:val="22"/>
        </w:rPr>
        <w:t xml:space="preserve">Existing PET units within the area (whether basic or enhanced) should have been operating at a minimum of 1,000 PET procedures during the most recent annual period as reported to the certificate of need program according to paragraph </w:t>
      </w:r>
      <w:hyperlink r:id="rId50">
        <w:r>
          <w:rPr>
            <w:rStyle w:val="Hyperlink"/>
            <w:rFonts w:ascii="Times New Roman" w:hAnsi="Times New Roman"/>
            <w:b w:val="false"/>
            <w:i w:val="false"/>
            <w:color w:val="000000"/>
            <w:sz w:val="22"/>
          </w:rPr>
          <w:t>124.6(4)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124.6(4)</w:t>
      </w:r>
      <w:r>
        <w:rPr>
          <w:rFonts w:ascii="Times New Roman" w:hAnsi="Times New Roman"/>
          <w:b w:val="false"/>
          <w:i w:val="false"/>
          <w:color w:val="000000"/>
          <w:sz w:val="22"/>
        </w:rPr>
        <w:t> </w:t>
      </w:r>
      <w:r>
        <w:rPr>
          <w:rFonts w:ascii="Times New Roman" w:hAnsi="Times New Roman"/>
          <w:b w:val="false"/>
          <w:i/>
          <w:color w:val="000000"/>
          <w:sz w:val="22"/>
        </w:rPr>
        <w:t xml:space="preserve">Quality and continuity. </w:t>
      </w:r>
      <w:r>
        <w:rPr>
          <w:rFonts w:ascii="Times New Roman" w:hAnsi="Times New Roman"/>
          <w:b w:val="false"/>
          <w:i w:val="false"/>
          <w:color w:val="000000"/>
          <w:sz w:val="22"/>
        </w:rPr>
        <w:t xml:space="preserve">(Iowa Code section </w:t>
      </w:r>
      <w:hyperlink r:id="rId51">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proposed PET unit should function as a component of a comprehensive inpatient or outpatient diagnostic service. The proposed PET unit should have the following modalities (and capabilities) on-site or through referral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MRI.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Nuclear medicine—cardiac, SPECT.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Conventional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proposed PET unit should be located in a facility that has, either in-house or through referral arrangement, the resources necessary to treat most of the conditions diagnosed or confirmed by PET. The following medical specialties should be available during PET service hours on-site or by referral arrangements: cardiology, neurology, neurosurgery, oncology, and 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proposal to provide new or expanded PET must include satisfactory assurances that services will be offered in a physical environment that conforms to federal standards, manufacturer’s specifications, and licensing agencies’ requirements. The following areas are to be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Quality control and assurance of radiopharmaceutical production of generator- or cyclotron-produced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Quality control and assurance of PET tomograph and associated instrumentation;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Radiation protection and shielding;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Radioactive emissions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will provide evidence that the proposed PET equipment has been certified for clinical use by the U.S. Food and Drug Administration or will be operated under the approval and authority of an institutional review board whose membership is consistent with U.S. Department of Health and Human Services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applicant for PET will document that the necessary qualified staff are available to operate the proposed unit. The applicant will document the PET training and experience of the staff. The following minimum staff will be available to the PET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or more nuclear medicine imaging physician(s) available to the PET unit who have been licensed by the state for the handling of medical radionuclides and whose primary responsibility for at least a one-year period prior to submission of the certificate of need application has been in acquisition and interpretation of tomographic images. This individual shall have knowledge of PET through training, experience, or documented postgraduate education. The individual shall also have training with a functional PET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Qualified PET radiochemist or radiopharmacist personnel available to the facility during PET service hours with at least one year of training. The individual(s) will demonstrate experience in the testing of chemical, radiochemical, and radionuclidic purity of PET radiopharmaceutical syntheses.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Qualified engineering and physics personnel available to the facility during PET service hours with training and experience in the operation and maintenance of the PET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Qualified radiation safety personnel available to the facility at all times with training and experience in the handling of short-lived positron-emitting nuclides.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Certified nuclear medicine technologists with expertise in computed tomographic nuclear medicine imaging procedures at a staffing level consistent with the proposed center’s expected PET service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appropriate personnel should be available during PET service hours, which may include certified nuclear medicine technologists, computer programmers, nurses, and radiochemistry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applicant will demonstrate how emergencies within the PET unit will be managed in conformity with accepted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124.6(5)</w:t>
      </w:r>
      <w:r>
        <w:rPr>
          <w:rFonts w:ascii="Times New Roman" w:hAnsi="Times New Roman"/>
          <w:b w:val="false"/>
          <w:i w:val="false"/>
          <w:color w:val="000000"/>
          <w:sz w:val="22"/>
        </w:rPr>
        <w:t> </w:t>
      </w:r>
      <w:r>
        <w:rPr>
          <w:rFonts w:ascii="Times New Roman" w:hAnsi="Times New Roman"/>
          <w:b w:val="false"/>
          <w:i/>
          <w:color w:val="000000"/>
          <w:sz w:val="22"/>
        </w:rPr>
        <w:t xml:space="preserve">Accessibility and acceptability. </w:t>
      </w:r>
      <w:r>
        <w:rPr>
          <w:rFonts w:ascii="Times New Roman" w:hAnsi="Times New Roman"/>
          <w:b w:val="false"/>
          <w:i w:val="false"/>
          <w:color w:val="000000"/>
          <w:sz w:val="22"/>
        </w:rPr>
        <w:t xml:space="preserve">(Iowa Code section </w:t>
      </w:r>
      <w:hyperlink r:id="rId52">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PET facility should have adequate scheduled hours to avoid an excessive backlog of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Selection of patients for clinical PET studies will guarantee equal access to all persons regardless of insurance coverage or 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addition to accepting patients from participating institutions, a facility performing clinical PET procedures should accept appropriate referrals from other local providers. These patients will be accommodated to the extent possible by extending the hours of service and by prioritizing patients according to standards of need and appropriateness rather than source of referral.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124.6(6)</w:t>
      </w:r>
      <w:r>
        <w:rPr>
          <w:rFonts w:ascii="Times New Roman" w:hAnsi="Times New Roman"/>
          <w:b w:val="false"/>
          <w:i w:val="false"/>
          <w:color w:val="000000"/>
          <w:sz w:val="22"/>
        </w:rPr>
        <w:t> </w:t>
      </w:r>
      <w:r>
        <w:rPr>
          <w:rFonts w:ascii="Times New Roman" w:hAnsi="Times New Roman"/>
          <w:b w:val="false"/>
          <w:i/>
          <w:color w:val="000000"/>
          <w:sz w:val="22"/>
        </w:rPr>
        <w:t xml:space="preserve">Costs and financial feasibility. </w:t>
      </w:r>
      <w:r>
        <w:rPr>
          <w:rFonts w:ascii="Times New Roman" w:hAnsi="Times New Roman"/>
          <w:b w:val="false"/>
          <w:i w:val="false"/>
          <w:color w:val="000000"/>
          <w:sz w:val="22"/>
        </w:rPr>
        <w:t xml:space="preserve">(Iowa Code section </w:t>
      </w:r>
      <w:hyperlink r:id="rId53">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“p”</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will identify capital and operating costs associated with a proposed PET unit, identify sources of funding to cover those costs, and demonstrate that the project is financially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will provide budgets for the first three years of operation, including documentation and justification of all assumptions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will document its projected average cost per procedure and charge per procedure for the first three years. Charges for PET should be reasonably related to service cost and comparable to PET charges at other facilities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should verify whether the service is eligible for reimbursement by public and private third-party payers.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applicant should demonstrate that alternatives were considered and the proposed application is the most cost-effective and should accomplish the goals of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54">
        <w:r>
          <w:rPr>
            <w:rStyle w:val="Hyperlink"/>
            <w:rFonts w:ascii="Times New Roman" w:hAnsi="Times New Roman"/>
            <w:b w:val="false"/>
            <w:i w:val="false"/>
            <w:color w:val="000000"/>
            <w:sz w:val="22"/>
          </w:rPr>
          <w:t>135.61</w:t>
        </w:r>
      </w:hyperlink>
      <w:r>
        <w:rPr>
          <w:rFonts w:ascii="Times New Roman" w:hAnsi="Times New Roman"/>
          <w:b w:val="false"/>
          <w:i w:val="false"/>
          <w:color w:val="000000"/>
          <w:sz w:val="22"/>
        </w:rPr>
        <w:t xml:space="preserve"> through </w:t>
      </w:r>
      <w:hyperlink r:id="rId55">
        <w:r>
          <w:rPr>
            <w:rStyle w:val="Hyperlink"/>
            <w:rFonts w:ascii="Times New Roman" w:hAnsi="Times New Roman"/>
            <w:b w:val="false"/>
            <w:i w:val="false"/>
            <w:color w:val="000000"/>
            <w:sz w:val="22"/>
          </w:rPr>
          <w:t>135.78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0320D</w:t>
      </w:r>
      <w:r>
        <w:rPr>
          <w:rFonts w:ascii="Times New Roman" w:hAnsi="Times New Roman"/>
          <w:b w:val="false"/>
          <w:i w:val="false"/>
          <w:color w:val="000000"/>
          <w:sz w:val="21"/>
        </w:rPr>
        <w:t xml:space="preserve"> (Amended Notice ARC 0175D, IAB 4/1/26; </w:t>
      </w:r>
      <w:r>
        <w:rPr>
          <w:rFonts w:ascii="Times New Roman" w:hAnsi="Times New Roman"/>
          <w:b w:val="false"/>
          <w:i w:val="false"/>
          <w:color w:val="000000"/>
          <w:sz w:val="21"/>
        </w:rPr>
        <w:t>Notice ARC 9796C, IAB 12/10/25)</w:t>
      </w:r>
      <w:r>
        <w:rPr>
          <w:rFonts w:ascii="Times New Roman" w:hAnsi="Times New Roman"/>
          <w:b w:val="false"/>
          <w:i w:val="false"/>
          <w:color w:val="000000"/>
          <w:sz w:val="21"/>
        </w:rPr>
        <w:t>, IAB 5/27/26, effective 7/1/26]</w:t>
      </w:r>
    </w:p>
    <w:sectPr>
      <w:footerReference r:id="rId5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63.pdf" Type="http://schemas.openxmlformats.org/officeDocument/2006/relationships/hyperlink" Id="rId5"/>
    <Relationship TargetMode="External" Target="https://www.legis.iowa.gov/docs/ico/chapter/135.63.pdf" Type="http://schemas.openxmlformats.org/officeDocument/2006/relationships/hyperlink" Id="rId6"/>
    <Relationship TargetMode="External" Target="https://www.legis.iowa.gov/docs/ico/chapter/135.63.pdf" Type="http://schemas.openxmlformats.org/officeDocument/2006/relationships/hyperlink" Id="rId7"/>
    <Relationship TargetMode="External" Target="https://www.legis.iowa.gov/docs/ico/chapter/135.63.pdf" Type="http://schemas.openxmlformats.org/officeDocument/2006/relationships/hyperlink" Id="rId8"/>
    <Relationship TargetMode="External" Target="https://www.legis.iowa.gov/docs/ico/chapter/135.63.pdf" Type="http://schemas.openxmlformats.org/officeDocument/2006/relationships/hyperlink" Id="rId9"/>
    <Relationship TargetMode="External" Target="https://www.legis.iowa.gov/docs/ico/chapter/135.63.pdf" Type="http://schemas.openxmlformats.org/officeDocument/2006/relationships/hyperlink" Id="rId10"/>
    <Relationship TargetMode="External" Target="https://www.legis.iowa.gov/docs/ico/chapter/135.63.pdf" Type="http://schemas.openxmlformats.org/officeDocument/2006/relationships/hyperlink" Id="rId11"/>
    <Relationship TargetMode="External" Target="https://www.legis.iowa.gov/docs/ico/chapter/135.63.pdf" Type="http://schemas.openxmlformats.org/officeDocument/2006/relationships/hyperlink" Id="rId12"/>
    <Relationship TargetMode="External" Target="https://www.legis.iowa.gov/docs/ico/chapter/135.63.pdf" Type="http://schemas.openxmlformats.org/officeDocument/2006/relationships/hyperlink" Id="rId13"/>
    <Relationship TargetMode="External" Target="https://www.legis.iowa.gov/docs/ico/chapter/135.63.pdf" Type="http://schemas.openxmlformats.org/officeDocument/2006/relationships/hyperlink" Id="rId14"/>
    <Relationship TargetMode="External" Target="https://www.legis.iowa.gov/docs/ico/chapter/135.63.pdf" Type="http://schemas.openxmlformats.org/officeDocument/2006/relationships/hyperlink" Id="rId15"/>
    <Relationship TargetMode="External" Target="https://www.legis.iowa.gov/docs/ico/chapter/135.63.pdf" Type="http://schemas.openxmlformats.org/officeDocument/2006/relationships/hyperlink" Id="rId16"/>
    <Relationship TargetMode="External" Target="https://www.legis.iowa.gov/docs/ico/chapter/135.63.pdf" Type="http://schemas.openxmlformats.org/officeDocument/2006/relationships/hyperlink" Id="rId17"/>
    <Relationship TargetMode="External" Target="https://www.legis.iowa.gov/docs/iac/rule/641.42.5.pdf" Type="http://schemas.openxmlformats.org/officeDocument/2006/relationships/hyperlink" Id="rId18"/>
    <Relationship TargetMode="External" Target="https://www.legis.iowa.gov/docs/iac/rule/641.42.6.pdf" Type="http://schemas.openxmlformats.org/officeDocument/2006/relationships/hyperlink" Id="rId19"/>
    <Relationship TargetMode="External" Target="https://www.legis.iowa.gov/docs/iac/rule/641.38.4.pdf" Type="http://schemas.openxmlformats.org/officeDocument/2006/relationships/hyperlink" Id="rId20"/>
    <Relationship TargetMode="External" Target="https://www.legis.iowa.gov/docs/ico/chapter/135.63.pdf" Type="http://schemas.openxmlformats.org/officeDocument/2006/relationships/hyperlink" Id="rId21"/>
    <Relationship TargetMode="External" Target="https://www.legis.iowa.gov/docs/ico/chapter/135.63.pdf" Type="http://schemas.openxmlformats.org/officeDocument/2006/relationships/hyperlink" Id="rId22"/>
    <Relationship TargetMode="External" Target="https://www.legis.iowa.gov/docs/ico/chapter/135.63.pdf" Type="http://schemas.openxmlformats.org/officeDocument/2006/relationships/hyperlink" Id="rId23"/>
    <Relationship TargetMode="External" Target="https://www.legis.iowa.gov/docs/ico/chapter/135.63.pdf" Type="http://schemas.openxmlformats.org/officeDocument/2006/relationships/hyperlink" Id="rId24"/>
    <Relationship TargetMode="External" Target="https://www.legis.iowa.gov/docs/ico/chapter/135.63.pdf" Type="http://schemas.openxmlformats.org/officeDocument/2006/relationships/hyperlink" Id="rId25"/>
    <Relationship TargetMode="External" Target="https://www.legis.iowa.gov/docs/iac/rule/441.124.4.pdf" Type="http://schemas.openxmlformats.org/officeDocument/2006/relationships/hyperlink" Id="rId26"/>
    <Relationship TargetMode="External" Target="https://www.legis.iowa.gov/docs/iac/rule/441.124.3.pdf" Type="http://schemas.openxmlformats.org/officeDocument/2006/relationships/hyperlink" Id="rId27"/>
    <Relationship TargetMode="External" Target="https://www.legis.iowa.gov/docs/ico/chapter/135.63.pdf" Type="http://schemas.openxmlformats.org/officeDocument/2006/relationships/hyperlink" Id="rId28"/>
    <Relationship TargetMode="External" Target="https://www.legis.iowa.gov/docs/ico/chapter/135.63.pdf" Type="http://schemas.openxmlformats.org/officeDocument/2006/relationships/hyperlink" Id="rId29"/>
    <Relationship TargetMode="External" Target="https://www.legis.iowa.gov/docs/ico/chapter/135.63.pdf" Type="http://schemas.openxmlformats.org/officeDocument/2006/relationships/hyperlink" Id="rId30"/>
    <Relationship TargetMode="External" Target="https://www.legis.iowa.gov/docs/ico/chapter/135.63.pdf" Type="http://schemas.openxmlformats.org/officeDocument/2006/relationships/hyperlink" Id="rId31"/>
    <Relationship TargetMode="External" Target="https://www.legis.iowa.gov/docs/ico/chapter/135.63.pdf" Type="http://schemas.openxmlformats.org/officeDocument/2006/relationships/hyperlink" Id="rId32"/>
    <Relationship TargetMode="External" Target="https://www.legis.iowa.gov/docs/ico/chapter/135.63.pdf" Type="http://schemas.openxmlformats.org/officeDocument/2006/relationships/hyperlink" Id="rId33"/>
    <Relationship TargetMode="External" Target="https://www.legis.iowa.gov/docs/ico/chapter/135.63.pdf" Type="http://schemas.openxmlformats.org/officeDocument/2006/relationships/hyperlink" Id="rId34"/>
    <Relationship TargetMode="External" Target="https://www.legis.iowa.gov/docs/ico/chapter/135.63.pdf" Type="http://schemas.openxmlformats.org/officeDocument/2006/relationships/hyperlink" Id="rId35"/>
    <Relationship TargetMode="External" Target="http://hhs.iowa.gov/certificate-need-con-program" Type="http://schemas.openxmlformats.org/officeDocument/2006/relationships/hyperlink" Id="rId36"/>
    <Relationship TargetMode="External" Target="https://www.legis.iowa.gov/docs/ico/chapter/135.63.pdf" Type="http://schemas.openxmlformats.org/officeDocument/2006/relationships/hyperlink" Id="rId37"/>
    <Relationship TargetMode="External" Target="https://www.legis.iowa.gov/docs/ico/chapter/135.63.pdf" Type="http://schemas.openxmlformats.org/officeDocument/2006/relationships/hyperlink" Id="rId38"/>
    <Relationship TargetMode="External" Target="https://www.legis.iowa.gov/docs/ico/chapter/135.63.pdf" Type="http://schemas.openxmlformats.org/officeDocument/2006/relationships/hyperlink" Id="rId39"/>
    <Relationship TargetMode="External" Target="https://www.legis.iowa.gov/docs/ico/chapter/135.63.pdf" Type="http://schemas.openxmlformats.org/officeDocument/2006/relationships/hyperlink" Id="rId40"/>
    <Relationship TargetMode="External" Target="https://www.legis.iowa.gov/docs/ico/chapter/135.71.pdf" Type="http://schemas.openxmlformats.org/officeDocument/2006/relationships/hyperlink" Id="rId41"/>
    <Relationship TargetMode="External" Target="https://www.legis.iowa.gov/docs/ico/chapter/135.63.pdf" Type="http://schemas.openxmlformats.org/officeDocument/2006/relationships/hyperlink" Id="rId42"/>
    <Relationship TargetMode="External" Target="https://www.legis.iowa.gov/docs/ico/chapter/135.63.pdf" Type="http://schemas.openxmlformats.org/officeDocument/2006/relationships/hyperlink" Id="rId43"/>
    <Relationship TargetMode="External" Target="https://www.legis.iowa.gov/docs/iac/rule/441.124.5.pdf" Type="http://schemas.openxmlformats.org/officeDocument/2006/relationships/hyperlink" Id="rId44"/>
    <Relationship TargetMode="External" Target="https://www.legis.iowa.gov/docs/ico/chapter/135.63.pdf" Type="http://schemas.openxmlformats.org/officeDocument/2006/relationships/hyperlink" Id="rId45"/>
    <Relationship TargetMode="External" Target="https://www.legis.iowa.gov/docs/ico/chapter/135.63.pdf" Type="http://schemas.openxmlformats.org/officeDocument/2006/relationships/hyperlink" Id="rId46"/>
    <Relationship TargetMode="External" Target="https://www.legis.iowa.gov/docs/ico/chapter/135.63.pdf" Type="http://schemas.openxmlformats.org/officeDocument/2006/relationships/hyperlink" Id="rId47"/>
    <Relationship TargetMode="External" Target="https://www.legis.iowa.gov/docs/ico/chapter/135.63.pdf" Type="http://schemas.openxmlformats.org/officeDocument/2006/relationships/hyperlink" Id="rId48"/>
    <Relationship TargetMode="External" Target="https://www.legis.iowa.gov/docs/ico/chapter/135.63.pdf" Type="http://schemas.openxmlformats.org/officeDocument/2006/relationships/hyperlink" Id="rId49"/>
    <Relationship TargetMode="External" Target="https://www.legis.iowa.gov/docs/iac/rule/441.124.6.pdf" Type="http://schemas.openxmlformats.org/officeDocument/2006/relationships/hyperlink" Id="rId50"/>
    <Relationship TargetMode="External" Target="https://www.legis.iowa.gov/docs/ico/chapter/135.63.pdf" Type="http://schemas.openxmlformats.org/officeDocument/2006/relationships/hyperlink" Id="rId51"/>
    <Relationship TargetMode="External" Target="https://www.legis.iowa.gov/docs/ico/chapter/135.63.pdf" Type="http://schemas.openxmlformats.org/officeDocument/2006/relationships/hyperlink" Id="rId52"/>
    <Relationship TargetMode="External" Target="https://www.legis.iowa.gov/docs/ico/chapter/135.63.pdf" Type="http://schemas.openxmlformats.org/officeDocument/2006/relationships/hyperlink" Id="rId53"/>
    <Relationship TargetMode="External" Target="https://www.legis.iowa.gov/docs/ico/chapter/135.61.pdf" Type="http://schemas.openxmlformats.org/officeDocument/2006/relationships/hyperlink" Id="rId54"/>
    <Relationship TargetMode="External" Target="https://www.legis.iowa.gov/docs/ico/chapter/135.78.pdf" Type="http://schemas.openxmlformats.org/officeDocument/2006/relationships/hyperlink" Id="rId55"/>
    <Relationship Target="footer.xml" Type="http://schemas.openxmlformats.org/officeDocument/2006/relationships/footer" Id="rId5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