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122</w:t>
      </w:r>
    </w:p>
    <w:p>
      <w:pPr>
        <w:spacing w:before="0" w:after="0"/>
        <w:ind w:left="120"/>
        <w:jc w:val="center"/>
      </w:pPr>
      <w:r>
        <w:rPr>
          <w:rFonts w:ascii="Times New Roman" w:hAnsi="Times New Roman"/>
          <w:b w:val="false"/>
          <w:i w:val="false"/>
          <w:color w:val="000000"/>
          <w:sz w:val="21"/>
        </w:rPr>
        <w:t>FISCAL OVERSIGHT OF THE EARLY CHILDHOOD IOWA INITIATIVE</w:t>
      </w:r>
    </w:p>
    <w:p>
      <w:pPr>
        <w:spacing w:before="0" w:after="0"/>
        <w:ind w:left="120"/>
        <w:jc w:val="center"/>
      </w:pPr>
      <w:r>
        <w:rPr>
          <w:rFonts w:ascii="Times New Roman" w:hAnsi="Times New Roman"/>
          <w:b w:val="false"/>
          <w:i w:val="false"/>
          <w:color w:val="000000"/>
          <w:sz w:val="14"/>
        </w:rPr>
        <w:t>[Prior to 6/14/23, see Management Department[541]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441—122.1</w:t>
      </w:r>
      <w:r>
        <w:rPr>
          <w:rFonts w:ascii="Times New Roman" w:hAnsi="Times New Roman"/>
          <w:b/>
          <w:i w:val="false"/>
          <w:color w:val="000000"/>
          <w:sz w:val="22"/>
        </w:rPr>
        <w:t xml:space="preserve">(256I)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between the area boards, state board, department, and state agencies to which funding is allocated.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a financial review by area boards of early childhood Iowa funds. Area boards that receive federal funds shall complete an audit of the funds. The audit must be a single audit if the area board received a total of federal funds from all funding sources in excess of the threshold defined in 2 CFR 200.501(b) as amended to December 31, 2023. Area boards that are not required to conduct a single audit under 2 CFR 200.501(b) as amended to December 31, 2023, may coordinate with the fiscal agent to conduct the required audit. The audit requirements shall be found in the online toolkit available on the department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area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“area board”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256I.1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state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256I.1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441—122.2</w:t>
      </w:r>
      <w:r>
        <w:rPr>
          <w:rFonts w:ascii="Times New Roman" w:hAnsi="Times New Roman"/>
          <w:b/>
          <w:i w:val="false"/>
          <w:color w:val="000000"/>
          <w:sz w:val="22"/>
        </w:rPr>
        <w:t xml:space="preserve">(256I) </w:t>
      </w:r>
      <w:r>
        <w:rPr>
          <w:rFonts w:ascii="Times New Roman" w:hAnsi="Times New Roman"/>
          <w:b/>
          <w:i w:val="false"/>
          <w:color w:val="000000"/>
          <w:sz w:val="22"/>
        </w:rPr>
        <w:t xml:space="preserve">Fiscal oversight.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122.2(1)</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state board, the department has adopted policies to oversee the fiscal responsibilities of area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122.2(2)</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the internal controls of all disbursements of early childhood Iowa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 the process for issuing agreements with area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 and sign all agreements between the area boards and the state for the purposes of Iowa Code chapter </w:t>
      </w:r>
      <w:hyperlink r:id="rId7">
        <w:r>
          <w:rPr>
            <w:rStyle w:val="Hyperlink"/>
            <w:rFonts w:ascii="Times New Roman" w:hAnsi="Times New Roman"/>
            <w:b w:val="false"/>
            <w:i w:val="false"/>
            <w:color w:val="000000"/>
            <w:sz w:val="22"/>
          </w:rPr>
          <w:t>256I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 a policy for the disbursement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 an audit, conducted by an independent agency, of the early childhood Iowa funds managed by area boards. The minimum requirements and frequency of audits for the area boards shall be determined and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all area boards secure liability insurance;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 that area boards submit a contract-monitoring schedule for their funded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256I.1 through 256I.12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[Filed ARC 0178C</w:t>
      </w:r>
      <w:r>
        <w:rPr>
          <w:rFonts w:ascii="Times New Roman" w:hAnsi="Times New Roman"/>
          <w:b w:val="false"/>
          <w:i w:val="false"/>
          <w:color w:val="000000"/>
          <w:sz w:val="21"/>
        </w:rPr>
        <w:t xml:space="preserve"> (Notice ARC 0067C, IAB 4/4/12)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[Filed ARC 8068C</w:t>
      </w:r>
      <w:r>
        <w:rPr>
          <w:rFonts w:ascii="Times New Roman" w:hAnsi="Times New Roman"/>
          <w:b w:val="false"/>
          <w:i w:val="false"/>
          <w:color w:val="000000"/>
          <w:sz w:val="21"/>
        </w:rPr>
        <w:t xml:space="preserve"> (Notice ARC 7362C, IAB 1/24/24)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I.1.pdf" Type="http://schemas.openxmlformats.org/officeDocument/2006/relationships/hyperlink" Id="rId5"/>
    <Relationship TargetMode="External" Target="https://www.legis.iowa.gov/docs/ico/chapter/256I.1.pdf" Type="http://schemas.openxmlformats.org/officeDocument/2006/relationships/hyperlink" Id="rId6"/>
    <Relationship TargetMode="External" Target="https://www.legis.iowa.gov/docs/ico/chapter/256I.pdf" Type="http://schemas.openxmlformats.org/officeDocument/2006/relationships/hyperlink" Id="rId7"/>
    <Relationship TargetMode="External" Target="https://www.legis.iowa.gov/docs/ico/chapter/256I.1-1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