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116</w:t>
      </w:r>
    </w:p>
    <w:p>
      <w:pPr>
        <w:spacing w:before="0" w:after="0"/>
        <w:ind w:left="120"/>
        <w:jc w:val="center"/>
      </w:pPr>
      <w:r>
        <w:rPr>
          <w:rFonts w:ascii="Times New Roman" w:hAnsi="Times New Roman"/>
          <w:b w:val="false"/>
          <w:i w:val="false"/>
          <w:color w:val="000000"/>
          <w:sz w:val="21"/>
        </w:rPr>
        <w:t>LICENSING AND REGULATION OF RESIDENTIAL FACILITIES</w:t>
      </w:r>
      <w:r>
        <w:br/>
      </w:r>
      <w:r>
        <w:rPr>
          <w:rFonts w:ascii="Times New Roman" w:hAnsi="Times New Roman"/>
          <w:b w:val="false"/>
          <w:i w:val="false"/>
          <w:color w:val="000000"/>
          <w:sz w:val="21"/>
        </w:rPr>
        <w:t>FOR CHILDREN WITH AN INTELLECTUAL DISABILITY OR BRAIN INJURY</w:t>
      </w:r>
    </w:p>
    <w:p>
      <w:pPr>
        <w:spacing w:before="0" w:after="0"/>
        <w:ind w:left="120"/>
        <w:jc w:val="center"/>
      </w:pPr>
      <w:r>
        <w:rPr>
          <w:rFonts w:ascii="Times New Roman" w:hAnsi="Times New Roman"/>
          <w:b w:val="false"/>
          <w:i w:val="false"/>
          <w:color w:val="000000"/>
          <w:sz w:val="14"/>
        </w:rPr>
        <w:t>[Prior to 7/1/83, Social Services[770] Ch 116]</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441—116.1</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relates specifically to the licensing and regulation of residential facilities serving children with an intellectual disability or brain injury. Refer to </w:t>
      </w:r>
      <w:hyperlink r:id="rId5">
        <w:r>
          <w:rPr>
            <w:rStyle w:val="Hyperlink"/>
            <w:rFonts w:ascii="Times New Roman" w:hAnsi="Times New Roman"/>
            <w:b w:val="false"/>
            <w:i w:val="false"/>
            <w:color w:val="000000"/>
            <w:sz w:val="22"/>
          </w:rPr>
          <w:t>441—Chapter 112</w:t>
        </w:r>
      </w:hyperlink>
      <w:r>
        <w:rPr>
          <w:rFonts w:ascii="Times New Roman" w:hAnsi="Times New Roman"/>
          <w:b w:val="false"/>
          <w:i w:val="false"/>
          <w:color w:val="000000"/>
          <w:sz w:val="22"/>
        </w:rPr>
        <w:t xml:space="preserve"> for basic licensing and regulation of all foster care facilities, </w:t>
      </w:r>
      <w:hyperlink r:id="rId6">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 xml:space="preserve"> for definitions and minimum standards for all group living foster care facilities and </w:t>
      </w:r>
      <w:hyperlink r:id="rId7">
        <w:r>
          <w:rPr>
            <w:rStyle w:val="Hyperlink"/>
            <w:rFonts w:ascii="Times New Roman" w:hAnsi="Times New Roman"/>
            <w:b w:val="false"/>
            <w:i w:val="false"/>
            <w:color w:val="000000"/>
            <w:sz w:val="22"/>
          </w:rPr>
          <w:t>441—Chapter 115</w:t>
        </w:r>
      </w:hyperlink>
      <w:r>
        <w:rPr>
          <w:rFonts w:ascii="Times New Roman" w:hAnsi="Times New Roman"/>
          <w:b w:val="false"/>
          <w:i w:val="false"/>
          <w:color w:val="000000"/>
          <w:sz w:val="22"/>
        </w:rPr>
        <w:t xml:space="preserve"> for definitions and standards for comprehensive residential facilities for children. Chapters </w:t>
      </w:r>
      <w:hyperlink r:id="rId8">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apply to community residential facilities for children with an intellectual disability or brain injury and Chapters </w:t>
      </w:r>
      <w:hyperlink r:id="rId10">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115</w:t>
        </w:r>
      </w:hyperlink>
      <w:r>
        <w:rPr>
          <w:rFonts w:ascii="Times New Roman" w:hAnsi="Times New Roman"/>
          <w:b w:val="false"/>
          <w:i w:val="false"/>
          <w:color w:val="000000"/>
          <w:sz w:val="22"/>
        </w:rPr>
        <w:t xml:space="preserve"> apply to comprehensive residential facilities for children with an intellectual disability or brain injury with the exception of the areas discussed specifically in this chapter.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3">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441—116.2</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residential facility for children with an intellectual disability or brain injury” </w:t>
      </w:r>
      <w:r>
        <w:rPr>
          <w:rFonts w:ascii="Times New Roman" w:hAnsi="Times New Roman"/>
          <w:b w:val="false"/>
          <w:i w:val="false"/>
          <w:color w:val="000000"/>
          <w:sz w:val="22"/>
        </w:rPr>
        <w:t xml:space="preserve">means a community residential facility as defined in rule </w:t>
      </w:r>
      <w:hyperlink r:id="rId14">
        <w:r>
          <w:rPr>
            <w:rStyle w:val="Hyperlink"/>
            <w:rFonts w:ascii="Times New Roman" w:hAnsi="Times New Roman"/>
            <w:b w:val="false"/>
            <w:i w:val="false"/>
            <w:color w:val="000000"/>
            <w:sz w:val="22"/>
          </w:rPr>
          <w:t>441—114.2</w:t>
        </w:r>
      </w:hyperlink>
      <w:r>
        <w:rPr>
          <w:rFonts w:ascii="Times New Roman" w:hAnsi="Times New Roman"/>
          <w:b w:val="false"/>
          <w:i w:val="false"/>
          <w:color w:val="000000"/>
          <w:sz w:val="22"/>
        </w:rPr>
        <w:t xml:space="preserve">(237) which serves children with an intellectual disability as defined in Iowa Code chapter </w:t>
      </w:r>
      <w:hyperlink r:id="rId15">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or brain injury as defined in Iowa Code section </w:t>
      </w:r>
      <w:hyperlink r:id="rId16">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residential facility for children with an intellectual disability or brain injury” </w:t>
      </w:r>
      <w:r>
        <w:rPr>
          <w:rFonts w:ascii="Times New Roman" w:hAnsi="Times New Roman"/>
          <w:b w:val="false"/>
          <w:i w:val="false"/>
          <w:color w:val="000000"/>
          <w:sz w:val="22"/>
        </w:rPr>
        <w:t xml:space="preserve">means a comprehensive residential facility as defined in rule </w:t>
      </w:r>
      <w:hyperlink r:id="rId17">
        <w:r>
          <w:rPr>
            <w:rStyle w:val="Hyperlink"/>
            <w:rFonts w:ascii="Times New Roman" w:hAnsi="Times New Roman"/>
            <w:b w:val="false"/>
            <w:i w:val="false"/>
            <w:color w:val="000000"/>
            <w:sz w:val="22"/>
          </w:rPr>
          <w:t>441—115.2</w:t>
        </w:r>
      </w:hyperlink>
      <w:r>
        <w:rPr>
          <w:rFonts w:ascii="Times New Roman" w:hAnsi="Times New Roman"/>
          <w:b w:val="false"/>
          <w:i w:val="false"/>
          <w:color w:val="000000"/>
          <w:sz w:val="22"/>
        </w:rPr>
        <w:t xml:space="preserve">(237) which serves children with an intellectual disability as defined in Iowa Code chapter </w:t>
      </w:r>
      <w:hyperlink r:id="rId18">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or brain injury as defined in Iowa Code section </w:t>
      </w:r>
      <w:hyperlink r:id="rId19">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“Direct-service provider” </w:t>
      </w:r>
      <w:r>
        <w:rPr>
          <w:rFonts w:ascii="Times New Roman" w:hAnsi="Times New Roman"/>
          <w:b w:val="false"/>
          <w:i w:val="false"/>
          <w:color w:val="000000"/>
          <w:sz w:val="22"/>
        </w:rPr>
        <w:t xml:space="preserve">means any employee of an agency whose primary responsibility is the care and programming of the children through direct interactions. The definition of “child care worker” in rule </w:t>
      </w:r>
      <w:hyperlink r:id="rId20">
        <w:r>
          <w:rPr>
            <w:rStyle w:val="Hyperlink"/>
            <w:rFonts w:ascii="Times New Roman" w:hAnsi="Times New Roman"/>
            <w:b w:val="false"/>
            <w:i w:val="false"/>
            <w:color w:val="000000"/>
            <w:sz w:val="22"/>
          </w:rPr>
          <w:t>441—114.2</w:t>
        </w:r>
      </w:hyperlink>
      <w:r>
        <w:rPr>
          <w:rFonts w:ascii="Times New Roman" w:hAnsi="Times New Roman"/>
          <w:b w:val="false"/>
          <w:i w:val="false"/>
          <w:color w:val="000000"/>
          <w:sz w:val="22"/>
        </w:rPr>
        <w:t>(237) and all other references to child care workers shall be replaced by this definition and the term “direct-service providers” when reading the other applicable rule chapters.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“Indirect-service provider” </w:t>
      </w:r>
      <w:r>
        <w:rPr>
          <w:rFonts w:ascii="Times New Roman" w:hAnsi="Times New Roman"/>
          <w:b w:val="false"/>
          <w:i w:val="false"/>
          <w:color w:val="000000"/>
          <w:sz w:val="22"/>
        </w:rPr>
        <w:t xml:space="preserve">means an employee of an agency who supervises, coordinates and administers employees and program components. The definitions of “caseworker” and “casework supervisor” in rule </w:t>
      </w:r>
      <w:hyperlink r:id="rId21">
        <w:r>
          <w:rPr>
            <w:rStyle w:val="Hyperlink"/>
            <w:rFonts w:ascii="Times New Roman" w:hAnsi="Times New Roman"/>
            <w:b w:val="false"/>
            <w:i w:val="false"/>
            <w:color w:val="000000"/>
            <w:sz w:val="22"/>
          </w:rPr>
          <w:t>441—114.2</w:t>
        </w:r>
      </w:hyperlink>
      <w:r>
        <w:rPr>
          <w:rFonts w:ascii="Times New Roman" w:hAnsi="Times New Roman"/>
          <w:b w:val="false"/>
          <w:i w:val="false"/>
          <w:color w:val="000000"/>
          <w:sz w:val="22"/>
        </w:rPr>
        <w:t>(237) and all other references to caseworkers or casework supervisors shall be replaced by this definition and the term “indirect-service providers” when reading the other applicable rule chapters.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6627C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441—116.3</w:t>
      </w:r>
      <w:r>
        <w:rPr>
          <w:rFonts w:ascii="Times New Roman" w:hAnsi="Times New Roman"/>
          <w:b/>
          <w:i w:val="false"/>
          <w:color w:val="000000"/>
          <w:sz w:val="22"/>
        </w:rPr>
        <w:t xml:space="preserve">(237) </w:t>
      </w:r>
      <w:r>
        <w:rPr>
          <w:rFonts w:ascii="Times New Roman" w:hAnsi="Times New Roman"/>
          <w:b/>
          <w:i w:val="false"/>
          <w:color w:val="000000"/>
          <w:sz w:val="22"/>
        </w:rPr>
        <w:t xml:space="preserve">Qualifications of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116.3(1)</w:t>
      </w:r>
      <w:r>
        <w:rPr>
          <w:rFonts w:ascii="Times New Roman" w:hAnsi="Times New Roman"/>
          <w:b w:val="false"/>
          <w:i w:val="false"/>
          <w:color w:val="000000"/>
          <w:sz w:val="22"/>
        </w:rPr>
        <w:t> </w:t>
      </w:r>
      <w:r>
        <w:rPr>
          <w:rFonts w:ascii="Times New Roman" w:hAnsi="Times New Roman"/>
          <w:b w:val="false"/>
          <w:i/>
          <w:color w:val="000000"/>
          <w:sz w:val="22"/>
        </w:rPr>
        <w:t xml:space="preserve">Direct-service providers. </w:t>
      </w:r>
      <w:r>
        <w:rPr>
          <w:rFonts w:ascii="Times New Roman" w:hAnsi="Times New Roman"/>
          <w:b w:val="false"/>
          <w:i w:val="false"/>
          <w:color w:val="000000"/>
          <w:sz w:val="22"/>
        </w:rPr>
        <w:t>Direct-service providers shall be paraprofessionals or professionals meeting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Paraprofessionals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graduated from high school or earned a high school equivalency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completed the prescribed agency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appropriate to the specific job description of the employing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Professionals in the direct-service provider category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bachelor of arts degree in a related field; or an associate of arts degree in a related field and two years experience specific to the job responsibilities; or two years of higher education in a related field and two years’ experience specific to job responsibilities; or four years’ experience in programming specific to job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completed the prescribed agency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appropriate to the specific job description of the employing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116.3(2)</w:t>
      </w:r>
      <w:r>
        <w:rPr>
          <w:rFonts w:ascii="Times New Roman" w:hAnsi="Times New Roman"/>
          <w:b w:val="false"/>
          <w:i w:val="false"/>
          <w:color w:val="000000"/>
          <w:sz w:val="22"/>
        </w:rPr>
        <w:t> </w:t>
      </w:r>
      <w:r>
        <w:rPr>
          <w:rFonts w:ascii="Times New Roman" w:hAnsi="Times New Roman"/>
          <w:b w:val="false"/>
          <w:i/>
          <w:color w:val="000000"/>
          <w:sz w:val="22"/>
        </w:rPr>
        <w:t xml:space="preserve">Indirect-service providers. </w:t>
      </w:r>
      <w:r>
        <w:rPr>
          <w:rFonts w:ascii="Times New Roman" w:hAnsi="Times New Roman"/>
          <w:b w:val="false"/>
          <w:i w:val="false"/>
          <w:color w:val="000000"/>
          <w:sz w:val="22"/>
        </w:rPr>
        <w:t>Indirect-service providers shall meet one of the following education and experience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master’s in social work or a master of arts degree in a related field and one year of experience specific to job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bachelor of arts degree in a related field and two years’ experience specific to job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associate of arts degree in a related field and four years’ experience specific to job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five years’ specific treatment program experience relating to the job responsibilities.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441—116.4</w:t>
      </w:r>
      <w:r>
        <w:rPr>
          <w:rFonts w:ascii="Times New Roman" w:hAnsi="Times New Roman"/>
          <w:b/>
          <w:i w:val="false"/>
          <w:color w:val="000000"/>
          <w:sz w:val="22"/>
        </w:rPr>
        <w:t xml:space="preserve">(237) </w:t>
      </w:r>
      <w:r>
        <w:rPr>
          <w:rFonts w:ascii="Times New Roman" w:hAnsi="Times New Roman"/>
          <w:b/>
          <w:i w:val="false"/>
          <w:color w:val="000000"/>
          <w:sz w:val="22"/>
        </w:rPr>
        <w:t xml:space="preserve">Staff to client ratio. </w:t>
      </w:r>
      <w:r>
        <w:rPr>
          <w:rFonts w:ascii="Times New Roman" w:hAnsi="Times New Roman"/>
          <w:b w:val="false"/>
          <w:i w:val="false"/>
          <w:color w:val="000000"/>
          <w:sz w:val="22"/>
        </w:rPr>
        <w:t>The number and qualifications of the staff will vary depending on the needs of the children. There shall be at least a one to four staff to client ratio during prime programming time.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441—116.5</w:t>
      </w:r>
      <w:r>
        <w:rPr>
          <w:rFonts w:ascii="Times New Roman" w:hAnsi="Times New Roman"/>
          <w:b/>
          <w:i w:val="false"/>
          <w:color w:val="000000"/>
          <w:sz w:val="22"/>
        </w:rPr>
        <w:t xml:space="preserve">(237) </w:t>
      </w:r>
      <w:r>
        <w:rPr>
          <w:rFonts w:ascii="Times New Roman" w:hAnsi="Times New Roman"/>
          <w:b/>
          <w:i w:val="false"/>
          <w:color w:val="000000"/>
          <w:sz w:val="22"/>
        </w:rPr>
        <w:t xml:space="preserve">Program components. </w:t>
      </w:r>
      <w:r>
        <w:rPr>
          <w:rFonts w:ascii="Times New Roman" w:hAnsi="Times New Roman"/>
          <w:b w:val="false"/>
          <w:i w:val="false"/>
          <w:color w:val="000000"/>
          <w:sz w:val="22"/>
        </w:rPr>
        <w:t xml:space="preserve">In addition to the requirements of </w:t>
      </w:r>
      <w:hyperlink r:id="rId25">
        <w:r>
          <w:rPr>
            <w:rStyle w:val="Hyperlink"/>
            <w:rFonts w:ascii="Times New Roman" w:hAnsi="Times New Roman"/>
            <w:b w:val="false"/>
            <w:i w:val="false"/>
            <w:color w:val="000000"/>
            <w:sz w:val="22"/>
          </w:rPr>
          <w:t>441—subrule 114.8(3)</w:t>
        </w:r>
      </w:hyperlink>
      <w:r>
        <w:rPr>
          <w:rFonts w:ascii="Times New Roman" w:hAnsi="Times New Roman"/>
          <w:b w:val="false"/>
          <w:i w:val="false"/>
          <w:color w:val="000000"/>
          <w:sz w:val="22"/>
        </w:rPr>
        <w:t>, the facility shall have and follow a written procedure that defines who is responsible for overseeing personal hygiene of children and maintaining general orderliness of the facility.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441—116.6</w:t>
      </w:r>
      <w:r>
        <w:rPr>
          <w:rFonts w:ascii="Times New Roman" w:hAnsi="Times New Roman"/>
          <w:b/>
          <w:i w:val="false"/>
          <w:color w:val="000000"/>
          <w:sz w:val="22"/>
        </w:rPr>
        <w:t xml:space="preserve">(237) </w:t>
      </w:r>
      <w:r>
        <w:rPr>
          <w:rFonts w:ascii="Times New Roman" w:hAnsi="Times New Roman"/>
          <w:b/>
          <w:i w:val="false"/>
          <w:color w:val="000000"/>
          <w:sz w:val="22"/>
        </w:rPr>
        <w:t xml:space="preserve">Restraint. </w:t>
      </w:r>
      <w:r>
        <w:rPr>
          <w:rFonts w:ascii="Times New Roman" w:hAnsi="Times New Roman"/>
          <w:b w:val="false"/>
          <w:i w:val="false"/>
          <w:color w:val="000000"/>
          <w:sz w:val="22"/>
        </w:rPr>
        <w:t xml:space="preserve">In addition to the provisions of </w:t>
      </w:r>
      <w:hyperlink r:id="rId27">
        <w:r>
          <w:rPr>
            <w:rStyle w:val="Hyperlink"/>
            <w:rFonts w:ascii="Times New Roman" w:hAnsi="Times New Roman"/>
            <w:b w:val="false"/>
            <w:i w:val="false"/>
            <w:color w:val="000000"/>
            <w:sz w:val="22"/>
          </w:rPr>
          <w:t>441—Chapters 114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115</w:t>
        </w:r>
      </w:hyperlink>
      <w:r>
        <w:rPr>
          <w:rFonts w:ascii="Times New Roman" w:hAnsi="Times New Roman"/>
          <w:b w:val="false"/>
          <w:i w:val="false"/>
          <w:color w:val="000000"/>
          <w:sz w:val="22"/>
        </w:rPr>
        <w:t>, a restraint may be used as stated in the child’s individual service plan as approved by the parent or guardian, caseworker, and facility as long as that facility meets the standards for utilizing that particular type of restraint.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237.4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8/27/81, Notice 7/8/81—published 9/16/81, effective 11/1/81]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2/21/86, after Notice 1/1/86—published 3/12/86, effective 3/1/86]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4793C</w:t>
      </w:r>
      <w:r>
        <w:rPr>
          <w:rFonts w:ascii="Times New Roman" w:hAnsi="Times New Roman"/>
          <w:b w:val="false"/>
          <w:i w:val="false"/>
          <w:color w:val="000000"/>
          <w:sz w:val="21"/>
        </w:rPr>
        <w:t xml:space="preserve"> (Notice ARC 4629C,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6627C</w:t>
      </w:r>
      <w:r>
        <w:rPr>
          <w:rFonts w:ascii="Times New Roman" w:hAnsi="Times New Roman"/>
          <w:b w:val="false"/>
          <w:i w:val="false"/>
          <w:color w:val="000000"/>
          <w:sz w:val="21"/>
        </w:rPr>
        <w:t xml:space="preserve"> (Notice ARC 6457C, IAB 8/10/22)</w:t>
      </w:r>
      <w:r>
        <w:rPr>
          <w:rFonts w:ascii="Times New Roman" w:hAnsi="Times New Roman"/>
          <w:b w:val="false"/>
          <w:i w:val="false"/>
          <w:color w:val="000000"/>
          <w:sz w:val="21"/>
        </w:rPr>
        <w:t>, IAB 11/2/22, effective 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2.pdf" Type="http://schemas.openxmlformats.org/officeDocument/2006/relationships/hyperlink" Id="rId5"/>
    <Relationship TargetMode="External" Target="https://www.legis.iowa.gov/docs/iac/chapter/441.114.pdf" Type="http://schemas.openxmlformats.org/officeDocument/2006/relationships/hyperlink" Id="rId6"/>
    <Relationship TargetMode="External" Target="https://www.legis.iowa.gov/docs/iac/chapter/441.115.pdf" Type="http://schemas.openxmlformats.org/officeDocument/2006/relationships/hyperlink" Id="rId7"/>
    <Relationship TargetMode="External" Target="https://www.legis.iowa.gov/docs/iac/chapter/441.112.pdf" Type="http://schemas.openxmlformats.org/officeDocument/2006/relationships/hyperlink" Id="rId8"/>
    <Relationship TargetMode="External" Target="https://www.legis.iowa.gov/docs/iac/chapter/441.114.pdf" Type="http://schemas.openxmlformats.org/officeDocument/2006/relationships/hyperlink" Id="rId9"/>
    <Relationship TargetMode="External" Target="https://www.legis.iowa.gov/docs/iac/chapter/441.112.pdf" Type="http://schemas.openxmlformats.org/officeDocument/2006/relationships/hyperlink" Id="rId10"/>
    <Relationship TargetMode="External" Target="https://www.legis.iowa.gov/docs/iac/chapter/441.114.pdf" Type="http://schemas.openxmlformats.org/officeDocument/2006/relationships/hyperlink" Id="rId11"/>
    <Relationship TargetMode="External" Target="https://www.legis.iowa.gov/docs/iac/chapter/441.115.pdf" Type="http://schemas.openxmlformats.org/officeDocument/2006/relationships/hyperlink" Id="rId12"/>
    <Relationship TargetMode="External" Target="https://www.legis.iowa.gov/docs/ico/chapter/237.pdf" Type="http://schemas.openxmlformats.org/officeDocument/2006/relationships/hyperlink" Id="rId13"/>
    <Relationship TargetMode="External" Target="https://www.legis.iowa.gov/docs/iac/rule/441.114.2.pdf" Type="http://schemas.openxmlformats.org/officeDocument/2006/relationships/hyperlink" Id="rId14"/>
    <Relationship TargetMode="External" Target="https://www.legis.iowa.gov/docs/ico/chapter/222.pdf" Type="http://schemas.openxmlformats.org/officeDocument/2006/relationships/hyperlink" Id="rId15"/>
    <Relationship TargetMode="External" Target="https://www.legis.iowa.gov/docs/ico/chapter/135.22.pdf" Type="http://schemas.openxmlformats.org/officeDocument/2006/relationships/hyperlink" Id="rId16"/>
    <Relationship TargetMode="External" Target="https://www.legis.iowa.gov/docs/iac/rule/441.115.2.pdf" Type="http://schemas.openxmlformats.org/officeDocument/2006/relationships/hyperlink" Id="rId17"/>
    <Relationship TargetMode="External" Target="https://www.legis.iowa.gov/docs/ico/chapter/222.pdf" Type="http://schemas.openxmlformats.org/officeDocument/2006/relationships/hyperlink" Id="rId18"/>
    <Relationship TargetMode="External" Target="https://www.legis.iowa.gov/docs/ico/chapter/135.22.pdf" Type="http://schemas.openxmlformats.org/officeDocument/2006/relationships/hyperlink" Id="rId19"/>
    <Relationship TargetMode="External" Target="https://www.legis.iowa.gov/docs/iac/rule/441.114.2.pdf" Type="http://schemas.openxmlformats.org/officeDocument/2006/relationships/hyperlink" Id="rId20"/>
    <Relationship TargetMode="External" Target="https://www.legis.iowa.gov/docs/iac/rule/441.114.2.pdf" Type="http://schemas.openxmlformats.org/officeDocument/2006/relationships/hyperlink" Id="rId21"/>
    <Relationship TargetMode="External" Target="https://www.legis.iowa.gov/docs/ico/chapter/237.1.pdf" Type="http://schemas.openxmlformats.org/officeDocument/2006/relationships/hyperlink" Id="rId22"/>
    <Relationship TargetMode="External" Target="https://www.legis.iowa.gov/docs/ico/chapter/237.3.pdf" Type="http://schemas.openxmlformats.org/officeDocument/2006/relationships/hyperlink" Id="rId23"/>
    <Relationship TargetMode="External" Target="https://www.legis.iowa.gov/docs/ico/chapter/237.3.pdf" Type="http://schemas.openxmlformats.org/officeDocument/2006/relationships/hyperlink" Id="rId24"/>
    <Relationship TargetMode="External" Target="https://www.legis.iowa.gov/docs/iac/rule/441.114.8.pdf" Type="http://schemas.openxmlformats.org/officeDocument/2006/relationships/hyperlink" Id="rId25"/>
    <Relationship TargetMode="External" Target="https://www.legis.iowa.gov/docs/ico/chapter/237.3.pdf" Type="http://schemas.openxmlformats.org/officeDocument/2006/relationships/hyperlink" Id="rId26"/>
    <Relationship TargetMode="External" Target="https://www.legis.iowa.gov/docs/iac/chapter/441.114.pdf" Type="http://schemas.openxmlformats.org/officeDocument/2006/relationships/hyperlink" Id="rId27"/>
    <Relationship TargetMode="External" Target="https://www.legis.iowa.gov/docs/iac/chapter/441.115.pdf" Type="http://schemas.openxmlformats.org/officeDocument/2006/relationships/hyperlink" Id="rId28"/>
    <Relationship TargetMode="External" Target="https://www.legis.iowa.gov/docs/ico/chapter/237.4.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