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LICENSING AND REGULATION OF FOSTER FAMILY HOMES</w:t>
      </w:r>
    </w:p>
    <w:p>
      <w:pPr>
        <w:spacing w:before="0" w:after="0"/>
        <w:ind w:left="120"/>
        <w:jc w:val="center"/>
      </w:pPr>
      <w:r>
        <w:rPr>
          <w:rFonts w:ascii="Times New Roman" w:hAnsi="Times New Roman"/>
          <w:b w:val="false"/>
          <w:i w:val="false"/>
          <w:color w:val="000000"/>
          <w:sz w:val="14"/>
        </w:rPr>
        <w:t>[Prior to 7/1/83, Social Services [770] Ch 113]</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441—113.1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specifically relates to the licensing and regulation of foster family homes. Refer to </w:t>
      </w:r>
      <w:hyperlink r:id="rId5">
        <w:r>
          <w:rPr>
            <w:rStyle w:val="Hyperlink"/>
            <w:rFonts w:ascii="Times New Roman" w:hAnsi="Times New Roman"/>
            <w:b w:val="false"/>
            <w:i w:val="false"/>
            <w:color w:val="000000"/>
            <w:sz w:val="22"/>
          </w:rPr>
          <w:t>441—Chapter 112</w:t>
        </w:r>
      </w:hyperlink>
      <w:r>
        <w:rPr>
          <w:rFonts w:ascii="Times New Roman" w:hAnsi="Times New Roman"/>
          <w:b w:val="false"/>
          <w:i w:val="false"/>
          <w:color w:val="000000"/>
          <w:sz w:val="22"/>
        </w:rPr>
        <w:t xml:space="preserve"> for general licensing rules and regulations which apply to all foster care facilities, including foster family homes.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441—113.2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or developmentally appropriate activities” </w:t>
      </w:r>
      <w:r>
        <w:rPr>
          <w:rFonts w:ascii="Times New Roman" w:hAnsi="Times New Roman"/>
          <w:b w:val="false"/>
          <w:i w:val="false"/>
          <w:color w:val="000000"/>
          <w:sz w:val="22"/>
        </w:rPr>
        <w:t>means activities or items that are generally accepted as suitable for children of the same chronological age or level of maturity or that are determined to be developmentally appropriate for a child, based on the development of cognitive, emotional, physical, and behavioral capacities that are typical for an age or age group; and in the case of a specific child, activities or items that are suitable for the child based on the developmental stages attained by the child with respect to the cognitive, emotional, physical, and behavioral capacities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or children” </w:t>
      </w:r>
      <w:r>
        <w:rPr>
          <w:rFonts w:ascii="Times New Roman" w:hAnsi="Times New Roman"/>
          <w:b w:val="false"/>
          <w:i w:val="false"/>
          <w:color w:val="000000"/>
          <w:sz w:val="22"/>
        </w:rPr>
        <w:t>means the child or children who are in foster care for the purpose of this chapter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w:t>
      </w:r>
      <w:r>
        <w:rPr>
          <w:rFonts w:ascii="Times New Roman" w:hAnsi="Times New Roman"/>
          <w:b w:val="false"/>
          <w:i w:val="false"/>
          <w:color w:val="000000"/>
          <w:sz w:val="22"/>
        </w:rPr>
        <w:t>means the intentional physical punishment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“Fictive kin” </w:t>
      </w:r>
      <w:r>
        <w:rPr>
          <w:rFonts w:ascii="Times New Roman" w:hAnsi="Times New Roman"/>
          <w:b w:val="false"/>
          <w:i w:val="false"/>
          <w:color w:val="000000"/>
          <w:sz w:val="22"/>
        </w:rPr>
        <w:t>means an adult person who is not a relative of a child but who has an emotionally significant positive relationship with a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home” </w:t>
      </w:r>
      <w:r>
        <w:rPr>
          <w:rFonts w:ascii="Times New Roman" w:hAnsi="Times New Roman"/>
          <w:b w:val="false"/>
          <w:i w:val="false"/>
          <w:color w:val="000000"/>
          <w:sz w:val="22"/>
        </w:rPr>
        <w:t>means a home in which an individual person or persons or a married couple who wishes to provide or is providing, for a period exceeding 24 consecutive hours, board, room, and care for the child(ren) in a single family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a licensed medical doctor, doctor of osteopathy, physician assistant or advanced registered nurse practitioner who completes a health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 </w:t>
      </w:r>
      <w:r>
        <w:rPr>
          <w:rFonts w:ascii="Times New Roman" w:hAnsi="Times New Roman"/>
          <w:b w:val="false"/>
          <w:i w:val="false"/>
          <w:color w:val="000000"/>
          <w:sz w:val="22"/>
        </w:rPr>
        <w:t>means the care of a child by a relative or fictive kin providing full-time nurturing and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“Kinship caregiver” </w:t>
      </w:r>
      <w:r>
        <w:rPr>
          <w:rFonts w:ascii="Times New Roman" w:hAnsi="Times New Roman"/>
          <w:b w:val="false"/>
          <w:i w:val="false"/>
          <w:color w:val="000000"/>
          <w:sz w:val="22"/>
        </w:rPr>
        <w:t>means a relative or fictive kin providing care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system (PWS)” </w:t>
      </w:r>
      <w:r>
        <w:rPr>
          <w:rFonts w:ascii="Times New Roman" w:hAnsi="Times New Roman"/>
          <w:b w:val="false"/>
          <w:i w:val="false"/>
          <w:color w:val="000000"/>
          <w:sz w:val="22"/>
        </w:rPr>
        <w:t>means a system for the provision to the public of water for human consumption through pipes or other constructed conveyances, if such system has at least 15 service connections or regularly serves an average of at least 25 individuals daily at least 60 days out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and prudent parent standard” </w:t>
      </w:r>
      <w:r>
        <w:rPr>
          <w:rFonts w:ascii="Times New Roman" w:hAnsi="Times New Roman"/>
          <w:b w:val="false"/>
          <w:i w:val="false"/>
          <w:color w:val="000000"/>
          <w:sz w:val="22"/>
        </w:rPr>
        <w:t>means the standard characterized by careful and sensible parental decisions that maintain the health, safety, and best interests of the child(ren) while at the same time encourage the emotional and developmental growth of the child(ren), that a caregiver shall use when determining whether to allow the child(ren) in foster care under the responsibility of the state to participate in extracurricular, enrichment, cultural, and social activities. For the purposes of this definition, “caregiver” means a foster parent with whom the child(ren) in foster care have been placed or a designated official for a child care institution (including group homes, residential treatment, shelters, or other congregate care settings) in which the child(ren) in foster care have been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force” </w:t>
      </w:r>
      <w:r>
        <w:rPr>
          <w:rFonts w:ascii="Times New Roman" w:hAnsi="Times New Roman"/>
          <w:b w:val="false"/>
          <w:i w:val="false"/>
          <w:color w:val="000000"/>
          <w:sz w:val="22"/>
        </w:rPr>
        <w:t>means that force, and no more, which a reasonable person in like circumstances would judge to be necessary to prevent an injury or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“Recruitment and retention contractor” </w:t>
      </w:r>
      <w:r>
        <w:rPr>
          <w:rFonts w:ascii="Times New Roman" w:hAnsi="Times New Roman"/>
          <w:b w:val="false"/>
          <w:i w:val="false"/>
          <w:color w:val="000000"/>
          <w:sz w:val="22"/>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an individual related to the child within the fourth degree of consanguinity or affinity, by marriage, or through adoption. “Relative” includes the parent of a sibling of the child if the sibling’s parent’s parental rights were not previously terminated in relation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manager” </w:t>
      </w:r>
      <w:r>
        <w:rPr>
          <w:rFonts w:ascii="Times New Roman" w:hAnsi="Times New Roman"/>
          <w:b w:val="false"/>
          <w:i w:val="false"/>
          <w:color w:val="000000"/>
          <w:sz w:val="22"/>
        </w:rPr>
        <w:t>means the department employee responsible for managing department offices and personnel within the service area and for implementing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work administrator” </w:t>
      </w:r>
      <w:r>
        <w:rPr>
          <w:rFonts w:ascii="Times New Roman" w:hAnsi="Times New Roman"/>
          <w:b w:val="false"/>
          <w:i w:val="false"/>
          <w:color w:val="000000"/>
          <w:sz w:val="22"/>
        </w:rPr>
        <w:t>means the department employee responsible for supervising the social work staff within a department service area and for implementing service policies and procedures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means meeting a licensing standard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waiving the licensing standard entirely. A waiver may only be granted for non-safety licensing standards for a kinship caregiver.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441—113.3</w:t>
      </w:r>
      <w:r>
        <w:rPr>
          <w:rFonts w:ascii="Times New Roman" w:hAnsi="Times New Roman"/>
          <w:b/>
          <w:i w:val="false"/>
          <w:color w:val="000000"/>
          <w:sz w:val="22"/>
        </w:rPr>
        <w:t xml:space="preserve">(237) </w:t>
      </w:r>
      <w:r>
        <w:rPr>
          <w:rFonts w:ascii="Times New Roman" w:hAnsi="Times New Roman"/>
          <w:b/>
          <w:i w:val="false"/>
          <w:color w:val="000000"/>
          <w:sz w:val="22"/>
        </w:rPr>
        <w:t xml:space="preserve">Licensing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Applications for an initial license to operate a foster family home shall be submitted and processed as directed in rule </w:t>
      </w:r>
      <w:hyperlink r:id="rId8">
        <w:r>
          <w:rPr>
            <w:rStyle w:val="Hyperlink"/>
            <w:rFonts w:ascii="Times New Roman" w:hAnsi="Times New Roman"/>
            <w:b w:val="false"/>
            <w:i w:val="false"/>
            <w:color w:val="000000"/>
            <w:sz w:val="22"/>
          </w:rPr>
          <w:t>441—112.3</w:t>
        </w:r>
      </w:hyperlink>
      <w:r>
        <w:rPr>
          <w:rFonts w:ascii="Times New Roman" w:hAnsi="Times New Roman"/>
          <w:b w:val="false"/>
          <w:i w:val="false"/>
          <w:color w:val="000000"/>
          <w:sz w:val="22"/>
        </w:rPr>
        <w:t>(237). In addition to the application form, the applicant shall submit the following forms during the licensing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Form 595-1396 for each person living in the home who is 14 years of age or older, as required by rule </w:t>
      </w:r>
      <w:hyperlink r:id="rId9">
        <w:r>
          <w:rPr>
            <w:rStyle w:val="Hyperlink"/>
            <w:rFonts w:ascii="Times New Roman" w:hAnsi="Times New Roman"/>
            <w:b w:val="false"/>
            <w:i w:val="false"/>
            <w:color w:val="000000"/>
            <w:sz w:val="22"/>
          </w:rPr>
          <w:t>441—113.13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Form 470-0720 to satisfy the requirements of rule </w:t>
      </w:r>
      <w:hyperlink r:id="rId10">
        <w:r>
          <w:rPr>
            <w:rStyle w:val="Hyperlink"/>
            <w:rFonts w:ascii="Times New Roman" w:hAnsi="Times New Roman"/>
            <w:b w:val="false"/>
            <w:i w:val="false"/>
            <w:color w:val="000000"/>
            <w:sz w:val="22"/>
          </w:rPr>
          <w:t>441—113.11</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Form 470-0693,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Form 470-5097. The applicant or the recruitment and retention provider shall complete a drawing of the floor plan of the family’s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licensed to drive, a copy of the driver’s license and motor vehicle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113.3(2)</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 xml:space="preserve">Applicants shall attend an orientation provided by the recruitment and retention contractor as described in rule </w:t>
      </w:r>
      <w:hyperlink r:id="rId11">
        <w:r>
          <w:rPr>
            <w:rStyle w:val="Hyperlink"/>
            <w:rFonts w:ascii="Times New Roman" w:hAnsi="Times New Roman"/>
            <w:b w:val="false"/>
            <w:i w:val="false"/>
            <w:color w:val="000000"/>
            <w:sz w:val="22"/>
          </w:rPr>
          <w:t>441—117.2</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113.3(3)</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 xml:space="preserve">Before beginning preservice training, applicants shall pass at least the local record check procedures as specified in rule </w:t>
      </w:r>
      <w:hyperlink r:id="rId12">
        <w:r>
          <w:rPr>
            <w:rStyle w:val="Hyperlink"/>
            <w:rFonts w:ascii="Times New Roman" w:hAnsi="Times New Roman"/>
            <w:b w:val="false"/>
            <w:i w:val="false"/>
            <w:color w:val="000000"/>
            <w:sz w:val="22"/>
          </w:rPr>
          <w:t>441—113.13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113.3(4)</w:t>
      </w:r>
      <w:r>
        <w:rPr>
          <w:rFonts w:ascii="Times New Roman" w:hAnsi="Times New Roman"/>
          <w:b w:val="false"/>
          <w:i w:val="false"/>
          <w:color w:val="000000"/>
          <w:sz w:val="22"/>
        </w:rPr>
        <w:t> </w:t>
      </w:r>
      <w:r>
        <w:rPr>
          <w:rFonts w:ascii="Times New Roman" w:hAnsi="Times New Roman"/>
          <w:b w:val="false"/>
          <w:i/>
          <w:color w:val="000000"/>
          <w:sz w:val="22"/>
        </w:rPr>
        <w:t xml:space="preserve">Home study. </w:t>
      </w:r>
      <w:r>
        <w:rPr>
          <w:rFonts w:ascii="Times New Roman" w:hAnsi="Times New Roman"/>
          <w:b w:val="false"/>
          <w:i w:val="false"/>
          <w:color w:val="000000"/>
          <w:sz w:val="22"/>
        </w:rPr>
        <w:t xml:space="preserve">The worker for the recruitment and retention contractor shall complete a family home study.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 xml:space="preserve">Information for the home study is gathered primarily through the required preservice training as described in rule </w:t>
      </w:r>
      <w:hyperlink r:id="rId13">
        <w:r>
          <w:rPr>
            <w:rStyle w:val="Hyperlink"/>
            <w:rFonts w:ascii="Times New Roman" w:hAnsi="Times New Roman"/>
            <w:b w:val="false"/>
            <w:i w:val="false"/>
            <w:color w:val="000000"/>
            <w:sz w:val="22"/>
          </w:rPr>
          <w:t>441—117.1</w:t>
        </w:r>
      </w:hyperlink>
      <w:r>
        <w:rPr>
          <w:rFonts w:ascii="Times New Roman" w:hAnsi="Times New Roman"/>
          <w:b w:val="false"/>
          <w:i w:val="false"/>
          <w:color w:val="000000"/>
          <w:sz w:val="22"/>
        </w:rPr>
        <w:t xml:space="preserve">(237). Tribal agencies may also be involved in conducting home studies for American Indian and Alaska Native children. </w:t>
      </w:r>
      <w:r>
        <w:rPr>
          <w:rFonts w:ascii="Times New Roman" w:hAnsi="Times New Roman"/>
          <w:b w:val="false"/>
          <w:i w:val="false"/>
          <w:color w:val="000000"/>
          <w:sz w:val="22"/>
        </w:rPr>
        <w:t>42 U.S.C.</w:t>
      </w:r>
      <w:r>
        <w:rPr>
          <w:rFonts w:ascii="Times New Roman" w:hAnsi="Times New Roman"/>
          <w:b w:val="false"/>
          <w:i w:val="false"/>
          <w:color w:val="000000"/>
          <w:sz w:val="22"/>
        </w:rPr>
        <w:t>A. Section 671(a)(26)(B) provides that any receiving state must treat any tribal home study report as meeting the requirements imposed by the state for the completion of a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 shall hold at least three face-to-face interviews with the applicant with one of the interviews taking place in the applicant’s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 shall hold at least one face-to-face interview with each member of the household in the applicant’s home to observe family functioning and to assess the family’s capacity to meet the needs of the child(ren) in foster care. The worker will determine whether to interview or just observe each household member based on the household member’s age and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physical inspection of the home is required. The worker shall use Form 470-0695 to complete the physical inspection of the home to verify compliance with the licensing and regulation standards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 checks shall be conducted as described at rule </w:t>
      </w:r>
      <w:hyperlink r:id="rId14">
        <w:r>
          <w:rPr>
            <w:rStyle w:val="Hyperlink"/>
            <w:rFonts w:ascii="Times New Roman" w:hAnsi="Times New Roman"/>
            <w:b w:val="false"/>
            <w:i w:val="false"/>
            <w:color w:val="000000"/>
            <w:sz w:val="22"/>
          </w:rPr>
          <w:t>441—113.14</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topics. </w:t>
      </w:r>
      <w:r>
        <w:rPr>
          <w:rFonts w:ascii="Times New Roman" w:hAnsi="Times New Roman"/>
          <w:b w:val="false"/>
          <w:i w:val="false"/>
          <w:color w:val="000000"/>
          <w:sz w:val="22"/>
        </w:rPr>
        <w:t>The assessment of the prospective foster family shall evaluate the family’s ability to parent the special needs child(ren).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motivation for foster care and whether the family has biological, adopted, 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attitude of the family and the extended family toward accepting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emotional stability; marital relationship and history, including verification of marriages and divorces; family relationships; and compatibility.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applicant’s ability to cope with problems, stress, frustrations, crisis,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mental, and emotional conditions that may affect the applicant’s ability to parent the child(ren); treatment history; current status of treatment; and the evaluation of the treatment. Applicants and all household members must disclose any past or current mental health or substance abuse issues, or both. The department may require further documentation or evaluation, or both, to determine the suitability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child(ren) who are household members must be up to date on immunizations jointly recommended by the American Academy of Pediatrics, the Advisory Committee on Immunization Practices of the Centers for Disease Control and Prevention, and the American Academy of Family Physicians, unless the immunization is contrary to the child(ren)’s health as documented by a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evaluation of the applicant’s willingness to accept the child(ren) who have medical problems (such as a communicable disease), an intellectual disability, or emotional or behavioral problems. The applicant shall complete the department form to indicate choices about caring for any child(ren) who have or are at risk for a communicable disease and other medical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ability to provide for the child(ren)’s physical, medical, and emotional needs; to respect the child(ren)’s ethnic and religious identity; and to support the child(ren)’s overall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safety of the child(ren) in relation to any animals that live on the applicant’s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adjustment of any child(ren) in the home, including their attitudes toward foster care and adoption, relationships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assessment of the applicant’s disciplinary techniques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applicant’s financial information and ability to provide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applicant’s attitude toward the birth parents and siblings of the child(ren)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applicant’s commitment to and capacity to maintain significant relationships of the child(ren) in foster care and work with the child(ren)’s parents when the permanency goal is reunification.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Any history of substance use or substance abuse by family members or members of the household, including treatment history and current status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Any history of abuse by family members or members of the household, including treatment history, current status of treatment, and how this issue would affect the applicant’s ability to be 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Any criminal convictions of family members or adults in the household and the evaluation of the criminal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recruitment and retention contractor shall prepare a written report of the family assessment using Form 470-5436. Form 470-5436 shall include a recommendation for the number, age, sex, characteristics, and special needs of the child(ren) the family can best parent and any other pertinent information in making the licensing recommendation. The home study shall be maintained in the foster family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department worker shall use the home study to approve or deny a prospective family as an appropriate placement for the child(ren). The department worker shall notify the family of the licensing decision using Form 470-0709.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approval, the department shall issue the applicant a foster family home license as described at rule </w:t>
      </w:r>
      <w:hyperlink r:id="rId15">
        <w:r>
          <w:rPr>
            <w:rStyle w:val="Hyperlink"/>
            <w:rFonts w:ascii="Times New Roman" w:hAnsi="Times New Roman"/>
            <w:b w:val="false"/>
            <w:i w:val="false"/>
            <w:color w:val="000000"/>
            <w:sz w:val="22"/>
          </w:rPr>
          <w:t>441—112.4</w:t>
        </w:r>
      </w:hyperlink>
      <w:r>
        <w:rPr>
          <w:rFonts w:ascii="Times New Roman" w:hAnsi="Times New Roman"/>
          <w:b w:val="false"/>
          <w:i w:val="false"/>
          <w:color w:val="000000"/>
          <w:sz w:val="22"/>
        </w:rPr>
        <w:t xml:space="preserve">(237). The license shall indicate the licensed capacity for the number of child(ren) approved for placement in the foster family home under subrule </w:t>
      </w:r>
      <w:hyperlink r:id="rId16">
        <w:r>
          <w:rPr>
            <w:rStyle w:val="Hyperlink"/>
            <w:rFonts w:ascii="Times New Roman" w:hAnsi="Times New Roman"/>
            <w:b w:val="false"/>
            <w:i w:val="false"/>
            <w:color w:val="000000"/>
            <w:sz w:val="22"/>
          </w:rPr>
          <w:t>113.4(1)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worker does not approve the home study, the notice shall state the reasons for that decision, as listed in rule </w:t>
      </w:r>
      <w:hyperlink r:id="rId17">
        <w:r>
          <w:rPr>
            <w:rStyle w:val="Hyperlink"/>
            <w:rFonts w:ascii="Times New Roman" w:hAnsi="Times New Roman"/>
            <w:b w:val="false"/>
            <w:i w:val="false"/>
            <w:color w:val="000000"/>
            <w:sz w:val="22"/>
          </w:rPr>
          <w:t>441—112.5</w:t>
        </w:r>
      </w:hyperlink>
      <w:r>
        <w:rPr>
          <w:rFonts w:ascii="Times New Roman" w:hAnsi="Times New Roman"/>
          <w:b w:val="false"/>
          <w:i w:val="false"/>
          <w:color w:val="000000"/>
          <w:sz w:val="22"/>
        </w:rPr>
        <w:t xml:space="preserve">(237). A license denial may be appealed as described at rule </w:t>
      </w:r>
      <w:hyperlink r:id="rId18">
        <w:r>
          <w:rPr>
            <w:rStyle w:val="Hyperlink"/>
            <w:rFonts w:ascii="Times New Roman" w:hAnsi="Times New Roman"/>
            <w:b w:val="false"/>
            <w:i w:val="false"/>
            <w:color w:val="000000"/>
            <w:sz w:val="22"/>
          </w:rPr>
          <w:t>441—112.8</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441—113.4</w:t>
      </w:r>
      <w:r>
        <w:rPr>
          <w:rFonts w:ascii="Times New Roman" w:hAnsi="Times New Roman"/>
          <w:b/>
          <w:i w:val="false"/>
          <w:color w:val="000000"/>
          <w:sz w:val="22"/>
        </w:rPr>
        <w:t xml:space="preserve">(237) </w:t>
      </w:r>
      <w:r>
        <w:rPr>
          <w:rFonts w:ascii="Times New Roman" w:hAnsi="Times New Roman"/>
          <w:b/>
          <w:i w:val="false"/>
          <w:color w:val="000000"/>
          <w:sz w:val="22"/>
        </w:rPr>
        <w:t xml:space="preserve">Provisions pertaining to the license. </w:t>
      </w:r>
      <w:r>
        <w:rPr>
          <w:rFonts w:ascii="Times New Roman" w:hAnsi="Times New Roman"/>
          <w:b w:val="false"/>
          <w:i w:val="false"/>
          <w:color w:val="000000"/>
          <w:sz w:val="22"/>
        </w:rPr>
        <w:t>On a case-by-case basis, the service area manager or area social work administrator may waive any non-safety licensing standard for a kinship caregiver or grant a variance for any standard for a non-kinship caregiver in this chapter unless: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requirement is set in state or federal law;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or variance could have a negative impact on the safety and well-being of the child(ren) placed in the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color w:val="000000"/>
          <w:sz w:val="22"/>
        </w:rPr>
        <w:t xml:space="preserve">Number of children. </w:t>
      </w:r>
      <w:r>
        <w:rPr>
          <w:rFonts w:ascii="Times New Roman" w:hAnsi="Times New Roman"/>
          <w:b w:val="false"/>
          <w:i w:val="false"/>
          <w:color w:val="000000"/>
          <w:sz w:val="22"/>
        </w:rPr>
        <w:t>A foster family home may care for up to five children unless a variance is approved as described in this rule. The license capacity shall be based on the number of the foster family’s biological and adoptive children and any relative placements. The license shall be issued for at least one child. Any child(ren) who have reached the age of 18 and remain eligible for foster family care shall be included in the license capacity. Any variance to this rule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approved by the service area manager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documented in the licensing record with reasons given for granting the variance.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foster parents have three or more children in the home and have shown the ability to parent a large number of children. A licensing variance may be approved at initial or renewal licensure to allow the placement of up to three children as set forth in the chart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650"/>
        <w:gridCol w:w="2770"/>
        <w:gridCol w:w="2770"/>
      </w:tblGrid>
      <w:tr>
        <w:trPr>
          <w:trHeight w:val="225" w:hRule="atLeast"/>
        </w:trPr>
        <w:tc>
          <w:tcPr>
            <w:tcW w:w="5650"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No.</w:t>
            </w:r>
            <w:r>
              <w:rPr>
                <w:rFonts w:ascii="Times New Roman" w:hAnsi="Times New Roman"/>
                <w:b w:val="false"/>
                <w:i w:val="false"/>
                <w:color w:val="000000"/>
                <w:sz w:val="16"/>
              </w:rPr>
              <w:t> </w:t>
            </w:r>
          </w:p>
          <w:p>
            <w:pPr>
              <w:spacing w:before="0" w:after="0"/>
              <w:ind w:left="0"/>
              <w:jc w:val="center"/>
            </w:pPr>
            <w:r>
              <w:rPr>
                <w:rFonts w:ascii="Times New Roman" w:hAnsi="Times New Roman"/>
                <w:b w:val="false"/>
                <w:i w:val="false"/>
                <w:color w:val="000000"/>
                <w:sz w:val="16"/>
              </w:rPr>
              <w:t>of Children in the Home (birth/relative/adoptive placements)</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Maximum License Capacity:</w:t>
            </w:r>
          </w:p>
        </w:tc>
      </w:tr>
      <w:tr>
        <w:trPr>
          <w:trHeight w:val="225" w:hRule="atLeast"/>
        </w:trPr>
        <w:tc>
          <w:tcPr>
            <w:tcW w:w="0" w:type="auto"/>
            <w:vMerge/>
            <w:tcBorders>
              <w:top w:val="nil"/>
              <w:bottom w:val="single" w:color="000000" w:sz="8"/>
              <w:right w:val="single" w:color="000000" w:sz="8"/>
            </w:tcBorders>
          </w:tcPr>
          <w:p/>
        </w:tc>
        <w:tc>
          <w:tcPr>
            <w:tcW w:w="277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Without variance</w:t>
            </w:r>
          </w:p>
        </w:tc>
        <w:tc>
          <w:tcPr>
            <w:tcW w:w="277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With variance</w:t>
            </w:r>
          </w:p>
        </w:tc>
      </w:tr>
      <w:tr>
        <w:trPr>
          <w:trHeight w:val="225"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children</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210"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 child</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210"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 children</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r>
      <w:tr>
        <w:trPr>
          <w:trHeight w:val="210"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 children</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 children</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25" w:hRule="atLeast"/>
        </w:trPr>
        <w:tc>
          <w:tcPr>
            <w:tcW w:w="56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 or more children</w:t>
            </w:r>
          </w:p>
        </w:tc>
        <w:tc>
          <w:tcPr>
            <w:tcW w:w="27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Not applicable</w:t>
            </w:r>
          </w:p>
        </w:tc>
        <w:tc>
          <w:tcPr>
            <w:tcW w:w="277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variance beyond the maximum capacity of the foster home license is needed for the placement of a specific child in foster family care. A child-specific variance shall end when that child leaves the placement or any other change brings the family into licensed capacity. Unless a variance is needed for the placement of a sibling(s) of the child(ren) already in the home, or to keep siblings together, the maximum number of children in the home shall not exceed eight. On a case-by-case basis, if it is determined the foster parents have shown the parenting skills and have the social support system to meet the children’s needs for parenting more than eight children, the social work administrator shall approve the foster parents to parent more than eight children. A foster family may have both a licensing and a child-specific variance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other licensing requirements including, but not limited to, parenting ability and available bedroom space must be met before a foster home can be approved for a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color w:val="000000"/>
          <w:sz w:val="22"/>
        </w:rPr>
        <w:t xml:space="preserve">Employees of the department as foster parents. </w:t>
      </w:r>
      <w:r>
        <w:rPr>
          <w:rFonts w:ascii="Times New Roman" w:hAnsi="Times New Roman"/>
          <w:b w:val="false"/>
          <w:i w:val="false"/>
          <w:color w:val="000000"/>
          <w:sz w:val="22"/>
        </w:rPr>
        <w:t>Employees of the department may be licensed as foster family home parents unless they are engaged in the administration or provision of foster care services. Employees engaged in the administration or provision of foster care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care staff, social workers, youth service workers or their supervisors involved in programs for children in state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Foster care service workers, foster care licensing staff, and their supervisors employed in county or central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staff engaged in foster care placements, such as child protective staff or adoption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Department staff responsible for the development of policies and procedures relating to foster care licensing and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color w:val="000000"/>
          <w:sz w:val="22"/>
        </w:rPr>
        <w:t xml:space="preserve">Limits on foster family home licensure. </w:t>
      </w:r>
      <w:r>
        <w:rPr>
          <w:rFonts w:ascii="Times New Roman" w:hAnsi="Times New Roman"/>
          <w:b w:val="false"/>
          <w:i w:val="false"/>
          <w:color w:val="000000"/>
          <w:sz w:val="22"/>
        </w:rPr>
        <w:t>A licensed foster family home shall not be permitted to be a licensed comprehensive residential facility, community residential facility, or licensed child care center.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441—113.5</w:t>
      </w:r>
      <w:r>
        <w:rPr>
          <w:rFonts w:ascii="Times New Roman" w:hAnsi="Times New Roman"/>
          <w:b/>
          <w:i w:val="false"/>
          <w:color w:val="000000"/>
          <w:sz w:val="22"/>
        </w:rPr>
        <w:t xml:space="preserve">(237) </w:t>
      </w:r>
      <w:r>
        <w:rPr>
          <w:rFonts w:ascii="Times New Roman" w:hAnsi="Times New Roman"/>
          <w:b/>
          <w:i w:val="false"/>
          <w:color w:val="000000"/>
          <w:sz w:val="22"/>
        </w:rPr>
        <w:t xml:space="preserve">Physical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color w:val="000000"/>
          <w:sz w:val="22"/>
        </w:rPr>
        <w:t xml:space="preserve">General standards. </w:t>
      </w:r>
      <w:r>
        <w:rPr>
          <w:rFonts w:ascii="Times New Roman" w:hAnsi="Times New Roman"/>
          <w:b w:val="false"/>
          <w:i w:val="false"/>
          <w:color w:val="000000"/>
          <w:sz w:val="22"/>
        </w:rPr>
        <w:t>The foster home shall be safe, clean, well ventilated, properly lighted, properly heated, and free from vermin and rodents to ensure the well-being of the child(ren) residing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color w:val="000000"/>
          <w:sz w:val="22"/>
        </w:rPr>
        <w:t xml:space="preserve">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safe outdoor space provided according to the age and developmental needs of the child(ren) for active play. The area available shall be documented in the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child(ren) shall be adequately supervised and protected against hazards including, but not limited to, traffic, bodies of water, railroads, waste material, and contaminated water. The foster parent shall provide environmental protections such as door alarms, baby monitors, fences, and foliage barriers as necessary to promote a safe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home must meet the following standards concerning swimming pools, hot tubs and spas: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child’s plastic pool shall be drained daily and shall be inaccessible to the child(ren) when it is not in use. Swimming pools must have a barrier on all sides at least four feet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aboveground or in-ground swimming pool that is not fenced shall be covered whenever the pool is not in use. The cover shall meet or exceed the ASTM International (formerly known as the American Society for Testing and Materials) specification intended to reduce the risk of drowning by inhibiting access to the water by children under five years of age. Swimming pools must have their methods of access through the barrier equipped with a safety device, such as a bolt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Swimming pools must be equipped with a lifesaving device, such as a ring buoy.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swimming pool cannot be emptied after each use, the pool must have a working pump and filtering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Hot tubs and spas must have safety covers that are locked when not in use.</w:t>
      </w:r>
    </w:p>
    <w:p>
      <w:pPr>
        <w:spacing w:before="0" w:after="0"/>
        <w:ind w:left="120"/>
        <w:jc w:val="both"/>
      </w:pPr>
      <w:r>
        <w:rPr>
          <w:rFonts w:ascii="Times New Roman" w:hAnsi="Times New Roman"/>
          <w:b w:val="false"/>
          <w:i w:val="false"/>
          <w:color w:val="000000"/>
          <w:sz w:val="22"/>
        </w:rPr>
        <w:t>The foster parent or other adult shall provide reasonable supervision according to the ages and swimming abilities of the child(ren) when they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113.5(3)</w:t>
      </w:r>
      <w:r>
        <w:rPr>
          <w:rFonts w:ascii="Times New Roman" w:hAnsi="Times New Roman"/>
          <w:b w:val="false"/>
          <w:i w:val="false"/>
          <w:color w:val="000000"/>
          <w:sz w:val="22"/>
        </w:rPr>
        <w:t> </w:t>
      </w:r>
      <w:r>
        <w:rPr>
          <w:rFonts w:ascii="Times New Roman" w:hAnsi="Times New Roman"/>
          <w:b w:val="false"/>
          <w:i/>
          <w:color w:val="000000"/>
          <w:sz w:val="22"/>
        </w:rPr>
        <w:t xml:space="preserve">Bedrooms for child(ren) placed in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Bedrooms shall either have been constructed for the purpose of providing sleeping accommodation or remodeled for sleeping to provide proper heat and ventilation. Bedroom additions to a home shall meet building code requirements. All bedrooms used by the child(ren) placed in the home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door that 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unobstructed, operable window that opens from the inside that is large enough to allow for an unrestricted exit by the child(ren) placed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closet, wardrobe, armoire, or dresser for the child(ren)’s clothes;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bed, for infants and toddlers who cannot safely use a standard bed, a crib or crib-like furniture which has a waterproof mattress covering and sufficient bedding to enable the child(ren) to rest comfortably and which meets the current standards or recommendations from the U.S. Consumer Product Safety Commission or ASTM International for juvenile products for each child under two years of age if developmentally appropriate. The provider shall follow safe sleep practices as recommended by the American Academy of Pediatrics for infants under the age of one. Safe infant sleep practices shall conform to the following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Infants shall always be placed on their backs for sleep.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Infants shall be placed on a firm mattress with a tight fitting sheet that meets U.S. Consumer Product Safety Commission federal standards.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Infants shall not be allowed to sleep on a bed, sofa, air mattress or other soft surface. No child(ren) shall be allowed to sleep in any item not designed for sleeping. This is not referring to a child in a car seat in a car.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 toys, soft objects, stuffed animals, pillows, bumper pads, blankets, or loose bedding shall be allowed in the sleeping area with the infant.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 co-sleeping shall be allowed.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If an alternate sleeping position is needed for an infant, a signed authorization with a statement of a medical reason is required and shall be submitted by a physician, advanced registered nurse practitioner, or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bedroom area per child shall be 40 square feet. However, the service area manager or designee may approve a waiver of this non-safety licensing standard for kinship caregivers or a variance when approval is in the best interest of specific children placed or to be placed in the home. Such approvals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the names and birth dates of the child(ren) for whom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reviewed at each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bedrooms meet only minimum requirements, the home shall provide additional room in other parts of the home for study and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ceiling height for bedrooms shall be adequate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for baby video monitors for the child(ren) birth to two years of age used in their bedrooms, video or surveillance cameras are not allowed in the child(ren)’s bedrooms or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Bedrooms belowground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free from excessive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access to at least one direct exit to the outside from the level belowground and one inside stairway exit from the level belowground;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an egress window with a clear opening area with an opening height of 24 inches and an opening width of 20 inches or an opening height of 20 inches and an opening width of 24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provisions, such as a ladder or steps, to ensure that the child(ren) can safely reach the window if the finished sill height is more than 44 inches above the floor and that the child(ren) can safely reach ground level if there is a window well that has a depth of 44 inches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finished ceiling such as drywall or a drop ceiling;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a covered floor.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113.5(4)</w:t>
      </w:r>
      <w:r>
        <w:rPr>
          <w:rFonts w:ascii="Times New Roman" w:hAnsi="Times New Roman"/>
          <w:b w:val="false"/>
          <w:i w:val="false"/>
          <w:color w:val="000000"/>
          <w:sz w:val="22"/>
        </w:rPr>
        <w:t xml:space="preserve"> and </w:t>
      </w:r>
      <w:r>
        <w:rPr>
          <w:rFonts w:ascii="Times New Roman" w:hAnsi="Times New Roman"/>
          <w:b/>
          <w:i w:val="false"/>
          <w:color w:val="000000"/>
          <w:sz w:val="22"/>
        </w:rPr>
        <w:t>113.5(5)</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10/3/12</w:t>
      </w:r>
      <w:r>
        <w:rPr>
          <w:rFonts w:ascii="Times New Roman" w:hAnsi="Times New Roman"/>
          <w:b w:val="false"/>
          <w:i w:val="false"/>
          <w:color w:val="000000"/>
          <w:sz w:val="22"/>
        </w:rPr>
        <w:t>, effective 12/1/12.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113.5(6)</w:t>
      </w:r>
      <w:r>
        <w:rPr>
          <w:rFonts w:ascii="Times New Roman" w:hAnsi="Times New Roman"/>
          <w:b w:val="false"/>
          <w:i w:val="false"/>
          <w:color w:val="000000"/>
          <w:sz w:val="22"/>
        </w:rPr>
        <w:t> </w:t>
      </w:r>
      <w:r>
        <w:rPr>
          <w:rFonts w:ascii="Times New Roman" w:hAnsi="Times New Roman"/>
          <w:b w:val="false"/>
          <w:i/>
          <w:color w:val="000000"/>
          <w:sz w:val="22"/>
        </w:rPr>
        <w:t xml:space="preserve">Physical care standards for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Grouping children in bedrooms shall take into consideration the age and sex of the child(ren), including the individual child’s need for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child(ren) over five years of age shall not share a bedroom with child(ren)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child(ren) shall not share a bed with any other child. The social work administrator may approve a waiver of this policy for kinship caregivers or a variance for non-kinship caregivers.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child(ren) two years of age or older shall be provided bedroom space other than in the foster parents’ bedroom. Any child(ren) under the age of two may share a bedroom with the foster parent in an individual crib.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plan for isolating the healthy child(ren) from a child who is ill or suspected of having a contagious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foster home shall provide food with good nutritional content and in sufficient quantity to meet the individual needs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Personal care items must be provided for youth, and these items must reflect the individual, cultural, racial, and ethnic needs of the youth living in the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Bedding shall be clean, odor-free, and free of urine and feces.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Foster parents shall follow universal precautions to reduce exposure to bloodborne pathogens and other infectious materials when providing care to any child(ren) placed in their physical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and vaping shall be prohibited in the foster home or any vehicle when the child(ren) are present.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113.5(7)</w:t>
      </w: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If the applicant lives in a home built before 1978, the applicant shall submit Form 470-4819, certifying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conducted a visual assessment for lead hazards that exist in the form of peeling or chipping paint;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applied interim controls using safe work methods if the presence of peeling or chipping paint is found, unless an inspector certified pursuant to department of public health rules at </w:t>
      </w:r>
      <w:hyperlink r:id="rId22">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has determined that the paint is not lead-based. “Interim controls” are measures designed to temporarily reduce human exposure or likely exposure to lead-based paint hazards, such as repairing deteriorated lead-based paint, specialized cleaning, maintenance, painting, and temporary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113.5(8)</w:t>
      </w:r>
      <w:r>
        <w:rPr>
          <w:rFonts w:ascii="Times New Roman" w:hAnsi="Times New Roman"/>
          <w:b w:val="false"/>
          <w:i w:val="false"/>
          <w:color w:val="000000"/>
          <w:sz w:val="22"/>
        </w:rPr>
        <w:t> </w:t>
      </w:r>
      <w:r>
        <w:rPr>
          <w:rFonts w:ascii="Times New Roman" w:hAnsi="Times New Roman"/>
          <w:b w:val="false"/>
          <w:i/>
          <w:color w:val="000000"/>
          <w:sz w:val="22"/>
        </w:rPr>
        <w:t xml:space="preserve">Artificial lighting. </w:t>
      </w:r>
      <w:r>
        <w:rPr>
          <w:rFonts w:ascii="Times New Roman" w:hAnsi="Times New Roman"/>
          <w:b w:val="false"/>
          <w:i w:val="false"/>
          <w:color w:val="000000"/>
          <w:sz w:val="22"/>
        </w:rPr>
        <w:t>Adequate artificial lighting fixtures shall be provided for study in areas where the child(ren) will be studying.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113.5(9)</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 facilities shall have at least one toilet, sink, and tub or shower in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Bathroom facilities shall have natural or artificial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113.5(10)</w:t>
      </w:r>
      <w:r>
        <w:rPr>
          <w:rFonts w:ascii="Times New Roman" w:hAnsi="Times New Roman"/>
          <w:b w:val="false"/>
          <w:i w:val="false"/>
          <w:color w:val="000000"/>
          <w:sz w:val="22"/>
        </w:rPr>
        <w:t> </w:t>
      </w:r>
      <w:r>
        <w:rPr>
          <w:rFonts w:ascii="Times New Roman" w:hAnsi="Times New Roman"/>
          <w:b w:val="false"/>
          <w:i/>
          <w:color w:val="000000"/>
          <w:sz w:val="22"/>
        </w:rPr>
        <w:t xml:space="preserve">Heating plant.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plant shall have a capacity to maintain a temperature of approximately 65 degrees Fahrenheit in the bedrooms with the door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Fireplaces and water heaters shall be vented to the outside atmosphere. The temperature of any water heaters must be set in accordance with the manufacturer’s recommendations. Kerosene heaters and gas-fired space heaters shall not be used to heat any space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113.5(11)</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Ventilation shall be provided in all rooms where the child(ren) eat, sleep, and play either by windows which can be opened or by mechanical venting systems. Windows and doors used for ventilation shall be screened.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113.5(12)</w:t>
      </w:r>
      <w:r>
        <w:rPr>
          <w:rFonts w:ascii="Times New Roman" w:hAnsi="Times New Roman"/>
          <w:b w:val="false"/>
          <w:i w:val="false"/>
          <w:color w:val="000000"/>
          <w:sz w:val="22"/>
        </w:rPr>
        <w:t> </w:t>
      </w:r>
      <w:r>
        <w:rPr>
          <w:rFonts w:ascii="Times New Roman" w:hAnsi="Times New Roman"/>
          <w:b w:val="false"/>
          <w:i/>
          <w:color w:val="000000"/>
          <w:sz w:val="22"/>
        </w:rPr>
        <w:t xml:space="preserve">Phone. </w:t>
      </w:r>
      <w:r>
        <w:rPr>
          <w:rFonts w:ascii="Times New Roman" w:hAnsi="Times New Roman"/>
          <w:b w:val="false"/>
          <w:i w:val="false"/>
          <w:color w:val="000000"/>
          <w:sz w:val="22"/>
        </w:rPr>
        <w:t>A working phone or access to a working phone shall be in close walking proximity to an applicant’s living space.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0357C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441—113.6</w:t>
      </w:r>
      <w:r>
        <w:rPr>
          <w:rFonts w:ascii="Times New Roman" w:hAnsi="Times New Roman"/>
          <w:b/>
          <w:i w:val="false"/>
          <w:color w:val="000000"/>
          <w:sz w:val="22"/>
        </w:rPr>
        <w:t xml:space="preserve">(237) </w:t>
      </w:r>
      <w:r>
        <w:rPr>
          <w:rFonts w:ascii="Times New Roman" w:hAnsi="Times New Roman"/>
          <w:b/>
          <w:i w:val="false"/>
          <w:color w:val="000000"/>
          <w:sz w:val="22"/>
        </w:rPr>
        <w:t xml:space="preserve">Sanitation, water,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113.6(1)</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r>
        <w:rPr>
          <w:rFonts w:ascii="Times New Roman" w:hAnsi="Times New Roman"/>
          <w:b w:val="false"/>
          <w:i w:val="false"/>
          <w:color w:val="000000"/>
          <w:sz w:val="22"/>
        </w:rPr>
        <w:t>Food preparation areas shall be clean, and the home shall have kitchen facilities with a sink, refrigerator, stove, and oven in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113.6(2)</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113.6(3)</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initial licensure and prior to each license renewal, each privately operated water supply shall be tested and evaluated for obvious deficiencies, such as open or loose well tops or platforms and poor drainage around the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part of the evaluation, water samples must be collected and submitted by the licensing worker or health sanitarian to the university hygienic laboratory or other laboratory certified by the hygienic laboratory and analyzed for coliform bacteria. In order for a foster family home to be licensed for the care of any child(ren) under two years of age, the nitrate (NO</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content must be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water supply is obtained from more than one well, proof of the quality of the water from each well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water sample result shows the water is potable, the license can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water sample is not approved, no foster family home license shall be issued until the foster parents provide a written statement that the child(ren) will be provided potable water, including where the water will be obtained and how it will be transported and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provided on Form 470-0699.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family has made ongoing alternative arrangements for the use of safe, potable water, annual testing of the water may be waived after the private water supply has tested unpotable for three consecutive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113.6(4)</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homes, wherever possible, shall be connected to public sewer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113.6(5)</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covered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fly tight, watertight, and rodent proof and shall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113.6(6)</w:t>
      </w:r>
      <w:r>
        <w:rPr>
          <w:rFonts w:ascii="Times New Roman" w:hAnsi="Times New Roman"/>
          <w:b w:val="false"/>
          <w:i w:val="false"/>
          <w:color w:val="000000"/>
          <w:sz w:val="22"/>
        </w:rPr>
        <w:t> </w:t>
      </w:r>
      <w:r>
        <w:rPr>
          <w:rFonts w:ascii="Times New Roman" w:hAnsi="Times New Roman"/>
          <w:b w:val="false"/>
          <w:i/>
          <w:color w:val="000000"/>
          <w:sz w:val="22"/>
        </w:rPr>
        <w:t xml:space="preserve">Rodent and insect infestation. </w:t>
      </w:r>
      <w:r>
        <w:rPr>
          <w:rFonts w:ascii="Times New Roman" w:hAnsi="Times New Roman"/>
          <w:b w:val="false"/>
          <w:i w:val="false"/>
          <w:color w:val="000000"/>
          <w:sz w:val="22"/>
        </w:rPr>
        <w:t>The home shall prevent or eliminate rodent and insect infestation.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441—113.7</w:t>
      </w:r>
      <w:r>
        <w:rPr>
          <w:rFonts w:ascii="Times New Roman" w:hAnsi="Times New Roman"/>
          <w:b/>
          <w:i w:val="false"/>
          <w:color w:val="000000"/>
          <w:sz w:val="22"/>
        </w:rPr>
        <w:t xml:space="preserve">(237)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113.7(1)</w:t>
      </w:r>
      <w:r>
        <w:rPr>
          <w:rFonts w:ascii="Times New Roman" w:hAnsi="Times New Roman"/>
          <w:b w:val="false"/>
          <w:i w:val="false"/>
          <w:color w:val="000000"/>
          <w:sz w:val="22"/>
        </w:rPr>
        <w:t> </w:t>
      </w:r>
      <w:r>
        <w:rPr>
          <w:rFonts w:ascii="Times New Roman" w:hAnsi="Times New Roman"/>
          <w:b w:val="false"/>
          <w:i/>
          <w:color w:val="000000"/>
          <w:sz w:val="22"/>
        </w:rPr>
        <w:t xml:space="preserve">Fire protection for bedrooms. </w:t>
      </w:r>
      <w:r>
        <w:rPr>
          <w:rFonts w:ascii="Times New Roman" w:hAnsi="Times New Roman"/>
          <w:b w:val="false"/>
          <w:i w:val="false"/>
          <w:color w:val="000000"/>
          <w:sz w:val="22"/>
        </w:rPr>
        <w:t>Any floor of a house, including the basement, shall be equipped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one UL (Underwriter’s Laboratory)-approved smoke detector. On floors that are used for sleeping, the smoke detector shall be in a location where sleeping areas can be alerted. For any deaf or hard-of-hearing child(ren), the foster parent shall install a smoke detector in the child(ren)’s bedroom that will use an alternative means of waking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Hallways and stairways free of debris and clutter to allow unrestricted access to an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working carbon monoxide detector in all homes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Gas appliances, furnaces, fireplaces, or other gas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Attached garages.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113.7(2)</w:t>
      </w:r>
      <w:r>
        <w:rPr>
          <w:rFonts w:ascii="Times New Roman" w:hAnsi="Times New Roman"/>
          <w:b w:val="false"/>
          <w:i w:val="false"/>
          <w:color w:val="000000"/>
          <w:sz w:val="22"/>
        </w:rPr>
        <w:t> </w:t>
      </w:r>
      <w:r>
        <w:rPr>
          <w:rFonts w:ascii="Times New Roman" w:hAnsi="Times New Roman"/>
          <w:b w:val="false"/>
          <w:i/>
          <w:color w:val="000000"/>
          <w:sz w:val="22"/>
        </w:rPr>
        <w:t xml:space="preserve">Combustion hazards.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Combustible materials shall be kept away from heat sources, including but not limited to furnaces, stoves, electrical panels, space heaters, and hot water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Explosives and flammable substances shall be stored securely and be inaccessible to the child(ren). Matches and lighters shall be inaccessible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operable 2A-10BC-rated or ABC-rated fire extinguisher.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113.7(3)</w:t>
      </w:r>
      <w:r>
        <w:rPr>
          <w:rFonts w:ascii="Times New Roman" w:hAnsi="Times New Roman"/>
          <w:b w:val="false"/>
          <w:i w:val="false"/>
          <w:color w:val="000000"/>
          <w:sz w:val="22"/>
        </w:rPr>
        <w:t> </w:t>
      </w:r>
      <w:r>
        <w:rPr>
          <w:rFonts w:ascii="Times New Roman" w:hAnsi="Times New Roman"/>
          <w:b w:val="false"/>
          <w:i/>
          <w:color w:val="000000"/>
          <w:sz w:val="22"/>
        </w:rPr>
        <w:t xml:space="preserve">Safety plan. </w:t>
      </w:r>
      <w:r>
        <w:rPr>
          <w:rFonts w:ascii="Times New Roman" w:hAnsi="Times New Roman"/>
          <w:b w:val="false"/>
          <w:i w:val="false"/>
          <w:color w:val="000000"/>
          <w:sz w:val="22"/>
        </w:rPr>
        <w:t>The family shall have an emergency safety plan to be used for fire, tornado, blizzard, flood, other natural or manmade disasters, accidents, medical issues, and other life-threatening situations for the child(ren) in out-of-home placements. The safety plans shall state the action that the foster parents and the child(ren) are to take in each situation that may occur and shall be posted in a prominent place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safety plans for fire and tornadoes shall be reviewed with the child(ren) at the time of placement. Fire and tornado plans shall be practiced with the child(ren) within one week of placement and no less than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disaster requiring evacuation of the foster home, the foster parents shall notify the department of the evacuation and the address and telephone number of the foster parents’ temporary residence within 24 hours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plans shall include a designated meeting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must maintain a comprehensive list of emergency telephone numbers, including poison control, and post those numbers in a prominent place in the home. If there is a landline phone located in the home, the numbers must be posted next to the 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113.7(4)</w:t>
      </w:r>
      <w:r>
        <w:rPr>
          <w:rFonts w:ascii="Times New Roman" w:hAnsi="Times New Roman"/>
          <w:b w:val="false"/>
          <w:i w:val="false"/>
          <w:color w:val="000000"/>
          <w:sz w:val="22"/>
        </w:rPr>
        <w:t> </w:t>
      </w:r>
      <w:r>
        <w:rPr>
          <w:rFonts w:ascii="Times New Roman" w:hAnsi="Times New Roman"/>
          <w:b w:val="false"/>
          <w:i/>
          <w:color w:val="000000"/>
          <w:sz w:val="22"/>
        </w:rPr>
        <w:t xml:space="preserve">Medications, first aid and poisonous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prescription medication shall be administered as prescribed and documented in a medication log that is given to the child(ren)’s department caseworker when the child(ren) leave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over-the-counter medications shall be administered according to label directions or as directed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must prevent the child(ren)’s access, as appropriate for the child(ren)’s age and development, to all medications, poisonous materials, cleaning supplies, other hazardous materials and alcoholic beverages.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must maintain first aid supplies as recommended by the American Red Cross.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113.7(5)</w:t>
      </w:r>
      <w:r>
        <w:rPr>
          <w:rFonts w:ascii="Times New Roman" w:hAnsi="Times New Roman"/>
          <w:b w:val="false"/>
          <w:i w:val="false"/>
          <w:color w:val="000000"/>
          <w:sz w:val="22"/>
        </w:rPr>
        <w:t> </w:t>
      </w:r>
      <w:r>
        <w:rPr>
          <w:rFonts w:ascii="Times New Roman" w:hAnsi="Times New Roman"/>
          <w:b w:val="false"/>
          <w:i/>
          <w:color w:val="000000"/>
          <w:sz w:val="22"/>
        </w:rPr>
        <w:t xml:space="preserve">Weapons. </w:t>
      </w:r>
      <w:r>
        <w:rPr>
          <w:rFonts w:ascii="Times New Roman" w:hAnsi="Times New Roman"/>
          <w:b w:val="false"/>
          <w:i w:val="false"/>
          <w:color w:val="000000"/>
          <w:sz w:val="22"/>
        </w:rPr>
        <w:t>All weapons, firearms, and ammunition shall be inaccessible to the child(ren) of any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weapons must be stored in an inoperative condition in a locked area inaccessible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Air guns;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BB guns;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Hunting slingshots;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projectile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ammunition, arrows or projectiles for such weapons shall be maintained in a locked place separate from the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weapons, firearms, and ammunition storage units shall not share the same key or matching security code. If a key is used, the key shall be stored in a place inaccessible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motor vehicles used to transport the child(ren) shall not contain a loaded gun, and any ammunition in the vehicle shall be kept in a separate, locked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Foster parents who have a permit to carry a firearm shall sign Form 470-4657. Foster parents who have firearms but do not have a permit to carry shall complete the safety plan section of Form 470-4657.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Foster parents who are also law enforcement officials and can document that their jurisdiction requires them to have ready and immediate access to their weapons may be exempt from these weapon requirements provided they adopt and follow a safety plan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113.7(6)</w:t>
      </w:r>
      <w:r>
        <w:rPr>
          <w:rFonts w:ascii="Times New Roman" w:hAnsi="Times New Roman"/>
          <w:b w:val="false"/>
          <w:i w:val="false"/>
          <w:color w:val="000000"/>
          <w:sz w:val="22"/>
        </w:rPr>
        <w:t> </w:t>
      </w:r>
      <w:r>
        <w:rPr>
          <w:rFonts w:ascii="Times New Roman" w:hAnsi="Times New Roman"/>
          <w:b w:val="false"/>
          <w:i/>
          <w:color w:val="000000"/>
          <w:sz w:val="22"/>
        </w:rPr>
        <w:t xml:space="preserve">Transporting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parents will ensure that if a privately owned vehicle, owned by the applicants, family or friends, is used to transport the child(ren) in foster care, it must be inspected (if applicable under state law), registered, and insured and meet all applicable state or tribal requirements to be an operable vehicle on the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driver will have a valid Iowa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restraints will be used that are appropriate to the child(ren)’s age, height, and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motor vehicles used to transport the child(ren) shall be smoke-free when the child(ren) are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Weapons must not be transported in any vehicle in which the child(ren) are riding unless the weapons are made inoperable and inaccessible.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Foster parents will have access to reliable public transportation if they do not have access to a reliable, registered, and insured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113.7(7)</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The foster parents shall provide reasonable and prudent supervision of the child(ren) to ensure the child(ren)’s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parents shall adequately supervise the child(ren) while the child(ren) are using any hazardous or dangerous objects or equipment. In order for the child(ren) to participate in age- or developmentally appropriate activities, the foster parent would apply the reasonable and prudent parent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Foster parents shall use reasonable and prudent supervision of the child(ren) when the child(ren) are using the Internet or other 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113.7(8)</w:t>
      </w:r>
      <w:r>
        <w:rPr>
          <w:rFonts w:ascii="Times New Roman" w:hAnsi="Times New Roman"/>
          <w:b w:val="false"/>
          <w:i w:val="false"/>
          <w:color w:val="000000"/>
          <w:sz w:val="22"/>
        </w:rPr>
        <w:t> </w:t>
      </w:r>
      <w:r>
        <w:rPr>
          <w:rFonts w:ascii="Times New Roman" w:hAnsi="Times New Roman"/>
          <w:b w:val="false"/>
          <w:i/>
          <w:color w:val="000000"/>
          <w:sz w:val="22"/>
        </w:rPr>
        <w:t xml:space="preserve">Household pets. </w:t>
      </w:r>
      <w:r>
        <w:rPr>
          <w:rFonts w:ascii="Times New Roman" w:hAnsi="Times New Roman"/>
          <w:b w:val="false"/>
          <w:i w:val="false"/>
          <w:color w:val="000000"/>
          <w:sz w:val="22"/>
        </w:rPr>
        <w:t>Household pets and any outdoor animals or pets accessible to the child(ren) shall have a current veterinary health certificate verifying that the animal’s routine immunizations, e.g., rabies, are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the initial home study and any time thereafter, foster parents shall report an animal’s history of aggression towards people and inform the department of the animal’s aggression towards people within 24 hours of an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Foster parents who have pets or animals with any history of aggression shall have a written plan that addresses strategies to reduce the risk of aggression by their pets or animals with which the child(ren) will have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Foster parents will complete a written plan on how they will introduce a pet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 waste will be contained and disposed of on a routine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Foster parents who apply the reasonable and prudent parent standard reasonably and in good faith in regard to the child(ren) placed in their home shall have immunity from civil or criminal liability which might otherwise be incurred or imposed. This subrule shall not remove or limit any existing liability protection afforded under any other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0357C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5808C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441—113.8</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parent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113.8(1)</w:t>
      </w:r>
      <w:r>
        <w:rPr>
          <w:rFonts w:ascii="Times New Roman" w:hAnsi="Times New Roman"/>
          <w:b w:val="false"/>
          <w:i w:val="false"/>
          <w:color w:val="000000"/>
          <w:sz w:val="22"/>
        </w:rPr>
        <w:t> </w:t>
      </w:r>
      <w:r>
        <w:rPr>
          <w:rFonts w:ascii="Times New Roman" w:hAnsi="Times New Roman"/>
          <w:b w:val="false"/>
          <w:i/>
          <w:color w:val="000000"/>
          <w:sz w:val="22"/>
        </w:rPr>
        <w:t xml:space="preserve">Preservice training. </w:t>
      </w:r>
      <w:r>
        <w:rPr>
          <w:rFonts w:ascii="Times New Roman" w:hAnsi="Times New Roman"/>
          <w:b w:val="false"/>
          <w:i w:val="false"/>
          <w:color w:val="000000"/>
          <w:sz w:val="22"/>
        </w:rPr>
        <w:t xml:space="preserve">All foster parent applicants shall complete the following training before licensure and the placement of the child(ren) in their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Orientation pursuant to rule </w:t>
      </w:r>
      <w:hyperlink r:id="rId26">
        <w:r>
          <w:rPr>
            <w:rStyle w:val="Hyperlink"/>
            <w:rFonts w:ascii="Times New Roman" w:hAnsi="Times New Roman"/>
            <w:b w:val="false"/>
            <w:i w:val="false"/>
            <w:color w:val="000000"/>
            <w:sz w:val="22"/>
          </w:rPr>
          <w:t>441—117.2</w:t>
        </w:r>
      </w:hyperlink>
      <w:r>
        <w:rPr>
          <w:rFonts w:ascii="Times New Roman" w:hAnsi="Times New Roman"/>
          <w:b w:val="false"/>
          <w:i w:val="false"/>
          <w:color w:val="000000"/>
          <w:sz w:val="22"/>
        </w:rPr>
        <w:t xml:space="preserve">(237);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Preservice training pursuant to rule </w:t>
      </w:r>
      <w:hyperlink r:id="rId27">
        <w:r>
          <w:rPr>
            <w:rStyle w:val="Hyperlink"/>
            <w:rFonts w:ascii="Times New Roman" w:hAnsi="Times New Roman"/>
            <w:b w:val="false"/>
            <w:i w:val="false"/>
            <w:color w:val="000000"/>
            <w:sz w:val="22"/>
          </w:rPr>
          <w:t>441—117.1</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Preservice training,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agency-approved medication management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face-to-face cardiopulmonary resuscitation (CPR) and first-aid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on child abuse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reasonable and prudent parent standard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Lessons teaching foster parents how to support a child’s overall well-being and emotional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reporter training on child abuse identification and reporting before initial licensure and every three years thereafter as required by rule </w:t>
      </w:r>
      <w:hyperlink r:id="rId28">
        <w:r>
          <w:rPr>
            <w:rStyle w:val="Hyperlink"/>
            <w:rFonts w:ascii="Times New Roman" w:hAnsi="Times New Roman"/>
            <w:b w:val="false"/>
            <w:i w:val="false"/>
            <w:color w:val="000000"/>
            <w:sz w:val="22"/>
          </w:rPr>
          <w:t>441—112.10</w:t>
        </w:r>
      </w:hyperlink>
      <w:r>
        <w:rPr>
          <w:rFonts w:ascii="Times New Roman" w:hAnsi="Times New Roman"/>
          <w:b w:val="false"/>
          <w:i w:val="false"/>
          <w:color w:val="000000"/>
          <w:sz w:val="22"/>
        </w:rPr>
        <w:t xml:space="preserve">(232) and </w:t>
      </w:r>
      <w:hyperlink r:id="rId29">
        <w:r>
          <w:rPr>
            <w:rStyle w:val="Hyperlink"/>
            <w:rFonts w:ascii="Times New Roman" w:hAnsi="Times New Roman"/>
            <w:b w:val="false"/>
            <w:i w:val="false"/>
            <w:color w:val="000000"/>
            <w:sz w:val="22"/>
          </w:rPr>
          <w:t>441—subrule 117.8(3)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113.8(2)</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w:t>
      </w:r>
      <w:r>
        <w:rPr>
          <w:rFonts w:ascii="Times New Roman" w:hAnsi="Times New Roman"/>
          <w:b w:val="false"/>
          <w:i w:val="false"/>
          <w:color w:val="000000"/>
          <w:sz w:val="22"/>
        </w:rPr>
        <w:t xml:space="preserve">All licensed foster parents shall complete six hours of in-service training annually as required by rule </w:t>
      </w:r>
      <w:hyperlink r:id="rId30">
        <w:r>
          <w:rPr>
            <w:rStyle w:val="Hyperlink"/>
            <w:rFonts w:ascii="Times New Roman" w:hAnsi="Times New Roman"/>
            <w:b w:val="false"/>
            <w:i w:val="false"/>
            <w:color w:val="000000"/>
            <w:sz w:val="22"/>
          </w:rPr>
          <w:t>441—117.7</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Each foster parent shall maintain certification in face-to-face CPR and first-aid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237.5A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441—113.9</w:t>
      </w:r>
      <w:r>
        <w:rPr>
          <w:rFonts w:ascii="Times New Roman" w:hAnsi="Times New Roman"/>
          <w:b/>
          <w:i w:val="false"/>
          <w:color w:val="000000"/>
          <w:sz w:val="22"/>
        </w:rPr>
        <w:t xml:space="preserve">(237) </w:t>
      </w:r>
      <w:r>
        <w:rPr>
          <w:rFonts w:ascii="Times New Roman" w:hAnsi="Times New Roman"/>
          <w:b/>
          <w:i w:val="false"/>
          <w:color w:val="000000"/>
          <w:sz w:val="22"/>
        </w:rPr>
        <w:t xml:space="preserve">Involvement of kin.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113.9(1)</w:t>
      </w:r>
      <w:r>
        <w:rPr>
          <w:rFonts w:ascii="Times New Roman" w:hAnsi="Times New Roman"/>
          <w:b w:val="false"/>
          <w:i w:val="false"/>
          <w:color w:val="000000"/>
          <w:sz w:val="22"/>
        </w:rPr>
        <w:t> </w:t>
      </w:r>
      <w:r>
        <w:rPr>
          <w:rFonts w:ascii="Times New Roman" w:hAnsi="Times New Roman"/>
          <w:b w:val="false"/>
          <w:i/>
          <w:color w:val="000000"/>
          <w:sz w:val="22"/>
        </w:rPr>
        <w:t xml:space="preserve">Support by foster parents. </w:t>
      </w:r>
      <w:r>
        <w:rPr>
          <w:rFonts w:ascii="Times New Roman" w:hAnsi="Times New Roman"/>
          <w:b w:val="false"/>
          <w:i w:val="false"/>
          <w:color w:val="000000"/>
          <w:sz w:val="22"/>
        </w:rPr>
        <w:t>Foster parents shall support the involvement of biological or adoptive parents and other relatives of the child(ren) unless this involvement is evaluated and documented by the department to be detrimental to the child(ren)’s well-being.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113.9(2)</w:t>
      </w:r>
      <w:r>
        <w:rPr>
          <w:rFonts w:ascii="Times New Roman" w:hAnsi="Times New Roman"/>
          <w:b w:val="false"/>
          <w:i w:val="false"/>
          <w:color w:val="000000"/>
          <w:sz w:val="22"/>
        </w:rPr>
        <w:t> </w:t>
      </w:r>
      <w:r>
        <w:rPr>
          <w:rFonts w:ascii="Times New Roman" w:hAnsi="Times New Roman"/>
          <w:b w:val="false"/>
          <w:i/>
          <w:color w:val="000000"/>
          <w:sz w:val="22"/>
        </w:rPr>
        <w:t xml:space="preserve">Nature of involvement. </w:t>
      </w:r>
      <w:r>
        <w:rPr>
          <w:rFonts w:ascii="Times New Roman" w:hAnsi="Times New Roman"/>
          <w:b w:val="false"/>
          <w:i w:val="false"/>
          <w:color w:val="000000"/>
          <w:sz w:val="22"/>
        </w:rPr>
        <w:t>The extent and nature of the involvement of the biological or adoptive parents and other relatives shall be determined by the caseworker in consultation with the foster parents, biological or adoptive parents, and others involved with the child(ren) and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113.9(3)</w:t>
      </w:r>
      <w:r>
        <w:rPr>
          <w:rFonts w:ascii="Times New Roman" w:hAnsi="Times New Roman"/>
          <w:b w:val="false"/>
          <w:i w:val="false"/>
          <w:color w:val="000000"/>
          <w:sz w:val="22"/>
        </w:rPr>
        <w:t> </w:t>
      </w:r>
      <w:r>
        <w:rPr>
          <w:rFonts w:ascii="Times New Roman" w:hAnsi="Times New Roman"/>
          <w:b w:val="false"/>
          <w:i/>
          <w:color w:val="000000"/>
          <w:sz w:val="22"/>
        </w:rPr>
        <w:t xml:space="preserve">Cultural connections. </w:t>
      </w:r>
      <w:r>
        <w:rPr>
          <w:rFonts w:ascii="Times New Roman" w:hAnsi="Times New Roman"/>
          <w:b w:val="false"/>
          <w:i w:val="false"/>
          <w:color w:val="000000"/>
          <w:sz w:val="22"/>
        </w:rPr>
        <w:t>Throughout the provision of care, the foster family shall actively ensure that the child(ren) stay connected to the child(ren)’s kin, culture, and community as required in the child(ren)’s case permanency plan.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441—113.10</w:t>
      </w:r>
      <w:r>
        <w:rPr>
          <w:rFonts w:ascii="Times New Roman" w:hAnsi="Times New Roman"/>
          <w:b/>
          <w:i w:val="false"/>
          <w:color w:val="000000"/>
          <w:sz w:val="22"/>
        </w:rPr>
        <w:t xml:space="preserve">(237) </w:t>
      </w:r>
      <w:r>
        <w:rPr>
          <w:rFonts w:ascii="Times New Roman" w:hAnsi="Times New Roman"/>
          <w:b/>
          <w:i w:val="false"/>
          <w:color w:val="000000"/>
          <w:sz w:val="22"/>
        </w:rPr>
        <w:t xml:space="preserve">Information on the child(ren) placed in the home.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113.10(1)</w:t>
      </w:r>
      <w:r>
        <w:rPr>
          <w:rFonts w:ascii="Times New Roman" w:hAnsi="Times New Roman"/>
          <w:b w:val="false"/>
          <w:i w:val="false"/>
          <w:color w:val="000000"/>
          <w:sz w:val="22"/>
        </w:rPr>
        <w:t> </w:t>
      </w:r>
      <w:r>
        <w:rPr>
          <w:rFonts w:ascii="Times New Roman" w:hAnsi="Times New Roman"/>
          <w:b w:val="false"/>
          <w:i/>
          <w:color w:val="000000"/>
          <w:sz w:val="22"/>
        </w:rPr>
        <w:t xml:space="preserve"> Information about the child(ren). </w:t>
      </w:r>
      <w:r>
        <w:rPr>
          <w:rFonts w:ascii="Times New Roman" w:hAnsi="Times New Roman"/>
          <w:b w:val="false"/>
          <w:i w:val="false"/>
          <w:color w:val="000000"/>
          <w:sz w:val="22"/>
        </w:rPr>
        <w:t>Foster parents shall maintain a separate folder of information on the child(ren) placed in the home. This folder shall be provided to the department or the child(ren)’s parent or guardian when the child(ren) leave the placement. The folder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doctors, mental health professionals, and dentists who have treated the child(ren); current medications prescribed, including over-the-counter medications; medication log; and the type of medical, dental, vision, and mental health treatments and hearing examinations received while the child(ren) are in the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 reports including report cards and pictures.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child(ren) left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whom the child(ren) are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Foster parents shall maintain confidentiality regarding the child(ren) in placement except as required to comply with rules on mandatory reporting of child abuse and with the child(ren)’s case permanency plan. Foster parents shall not without parent or guardian and department consent post pictures or information concerning the child(ren) on any Internet website or on social media.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237.7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441—113.11</w:t>
      </w:r>
      <w:r>
        <w:rPr>
          <w:rFonts w:ascii="Times New Roman" w:hAnsi="Times New Roman"/>
          <w:b/>
          <w:i w:val="false"/>
          <w:color w:val="000000"/>
          <w:sz w:val="22"/>
        </w:rPr>
        <w:t xml:space="preserve">(237) </w:t>
      </w:r>
      <w:r>
        <w:rPr>
          <w:rFonts w:ascii="Times New Roman" w:hAnsi="Times New Roman"/>
          <w:b/>
          <w:i w:val="false"/>
          <w:color w:val="000000"/>
          <w:sz w:val="22"/>
        </w:rPr>
        <w:t xml:space="preserve">Health of foster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113.11(1)</w:t>
      </w:r>
      <w:r>
        <w:rPr>
          <w:rFonts w:ascii="Times New Roman" w:hAnsi="Times New Roman"/>
          <w:b w:val="false"/>
          <w:i w:val="false"/>
          <w:color w:val="000000"/>
          <w:sz w:val="22"/>
        </w:rPr>
        <w:t> </w:t>
      </w:r>
      <w:r>
        <w:rPr>
          <w:rFonts w:ascii="Times New Roman" w:hAnsi="Times New Roman"/>
          <w:b w:val="false"/>
          <w:i/>
          <w:color w:val="000000"/>
          <w:sz w:val="22"/>
        </w:rPr>
        <w:t xml:space="preserve">Health report required. </w:t>
      </w:r>
      <w:r>
        <w:rPr>
          <w:rFonts w:ascii="Times New Roman" w:hAnsi="Times New Roman"/>
          <w:b w:val="false"/>
          <w:i w:val="false"/>
          <w:color w:val="000000"/>
          <w:sz w:val="22"/>
        </w:rPr>
        <w:t>The foster parents shall furnish the licensing agency with a health report on the family completed no more than six months before the application for licensure. The report shall include information on all family members, including foster parents, their minor child(ren) who reside in the home, and adult household members. An updated report shall be provided upon request of the department licensing worker or the recruitment and retention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113.11(2)</w:t>
      </w:r>
      <w:r>
        <w:rPr>
          <w:rFonts w:ascii="Times New Roman" w:hAnsi="Times New Roman"/>
          <w:b w:val="false"/>
          <w:i w:val="false"/>
          <w:color w:val="000000"/>
          <w:sz w:val="22"/>
        </w:rPr>
        <w:t> </w:t>
      </w:r>
      <w:r>
        <w:rPr>
          <w:rFonts w:ascii="Times New Roman" w:hAnsi="Times New Roman"/>
          <w:b w:val="false"/>
          <w:i/>
          <w:color w:val="000000"/>
          <w:sz w:val="22"/>
        </w:rPr>
        <w:t xml:space="preserve">Contents of report. </w:t>
      </w:r>
      <w:r>
        <w:rPr>
          <w:rFonts w:ascii="Times New Roman" w:hAnsi="Times New Roman"/>
          <w:b w:val="false"/>
          <w:i w:val="false"/>
          <w:color w:val="000000"/>
          <w:sz w:val="22"/>
        </w:rPr>
        <w:t>This report shall include a statement from an impartial health practitioner that there are no physical or mental health problems which would be a hazard to the child(ren) placed in the home and a statement that the foster parents’ health would not prevent needed care from being provided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113.11(3)</w:t>
      </w:r>
      <w:r>
        <w:rPr>
          <w:rFonts w:ascii="Times New Roman" w:hAnsi="Times New Roman"/>
          <w:b w:val="false"/>
          <w:i w:val="false"/>
          <w:color w:val="000000"/>
          <w:sz w:val="22"/>
        </w:rPr>
        <w:t> </w:t>
      </w:r>
      <w:r>
        <w:rPr>
          <w:rFonts w:ascii="Times New Roman" w:hAnsi="Times New Roman"/>
          <w:b w:val="false"/>
          <w:i/>
          <w:color w:val="000000"/>
          <w:sz w:val="22"/>
        </w:rPr>
        <w:t xml:space="preserve">Whooping cough vaccine. </w:t>
      </w:r>
      <w:r>
        <w:rPr>
          <w:rFonts w:ascii="Times New Roman" w:hAnsi="Times New Roman"/>
          <w:b w:val="false"/>
          <w:i w:val="false"/>
          <w:color w:val="000000"/>
          <w:sz w:val="22"/>
        </w:rPr>
        <w:t>All adult household members who are caregivers must have up-to-date whooping cough vaccines unless contrary to the person’s health or sincerely held religious belief.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whooping cough vaccine. </w:t>
      </w:r>
      <w:r>
        <w:rPr>
          <w:rFonts w:ascii="Times New Roman" w:hAnsi="Times New Roman"/>
          <w:b w:val="false"/>
          <w:i w:val="false"/>
          <w:color w:val="000000"/>
          <w:sz w:val="22"/>
        </w:rPr>
        <w:t>Nothing in this rule shall be construed to require the whooping cough vaccine for adult household members who are a member of a church or religious organization which is against vaccinations. In such instance, a notarized statement from the household member shall be incorporated into the health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113.11(5)</w:t>
      </w:r>
      <w:r>
        <w:rPr>
          <w:rFonts w:ascii="Times New Roman" w:hAnsi="Times New Roman"/>
          <w:b w:val="false"/>
          <w:i w:val="false"/>
          <w:color w:val="000000"/>
          <w:sz w:val="22"/>
        </w:rPr>
        <w:t> </w:t>
      </w:r>
      <w:r>
        <w:rPr>
          <w:rFonts w:ascii="Times New Roman" w:hAnsi="Times New Roman"/>
          <w:b w:val="false"/>
          <w:i/>
          <w:color w:val="000000"/>
          <w:sz w:val="22"/>
        </w:rPr>
        <w:t xml:space="preserve">Capability for caring for the child(ren). </w:t>
      </w:r>
      <w:r>
        <w:rPr>
          <w:rFonts w:ascii="Times New Roman" w:hAnsi="Times New Roman"/>
          <w:b w:val="false"/>
          <w:i w:val="false"/>
          <w:color w:val="000000"/>
          <w:sz w:val="22"/>
        </w:rPr>
        <w:t>If there is evidence that the foster parent is unable to provide necessary care for the child(ren), the department licensing worker, the recruitment and retention contractor, or the physician may require additional medical and mental health reports, including a substance abuse evaluation.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237.7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441—113.12</w:t>
      </w:r>
      <w:r>
        <w:rPr>
          <w:rFonts w:ascii="Times New Roman" w:hAnsi="Times New Roman"/>
          <w:b/>
          <w:i w:val="false"/>
          <w:color w:val="000000"/>
          <w:sz w:val="22"/>
        </w:rPr>
        <w:t xml:space="preserve">(237) </w:t>
      </w:r>
      <w:r>
        <w:rPr>
          <w:rFonts w:ascii="Times New Roman" w:hAnsi="Times New Roman"/>
          <w:b/>
          <w:i w:val="false"/>
          <w:color w:val="000000"/>
          <w:sz w:val="22"/>
        </w:rPr>
        <w:t xml:space="preserve">Characteristics of foster parents.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parents shall 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 of foster parents shall be considered as it affects their ability to care for a specific child and function in a parental 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113.12(2)</w:t>
      </w:r>
      <w:r>
        <w:rPr>
          <w:rFonts w:ascii="Times New Roman" w:hAnsi="Times New Roman"/>
          <w:b w:val="false"/>
          <w:i w:val="false"/>
          <w:color w:val="000000"/>
          <w:sz w:val="22"/>
        </w:rPr>
        <w:t> </w:t>
      </w:r>
      <w:r>
        <w:rPr>
          <w:rFonts w:ascii="Times New Roman" w:hAnsi="Times New Roman"/>
          <w:b w:val="false"/>
          <w:i/>
          <w:color w:val="000000"/>
          <w:sz w:val="22"/>
        </w:rPr>
        <w:t xml:space="preserve">Income and resources. </w:t>
      </w:r>
      <w:r>
        <w:rPr>
          <w:rFonts w:ascii="Times New Roman" w:hAnsi="Times New Roman"/>
          <w:b w:val="false"/>
          <w:i w:val="false"/>
          <w:color w:val="000000"/>
          <w:sz w:val="22"/>
        </w:rPr>
        <w:t>The foster family shall have sufficient income and resources to provide adequately for the family’s own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113.12(3)</w:t>
      </w:r>
      <w:r>
        <w:rPr>
          <w:rFonts w:ascii="Times New Roman" w:hAnsi="Times New Roman"/>
          <w:b w:val="false"/>
          <w:i w:val="false"/>
          <w:color w:val="000000"/>
          <w:sz w:val="22"/>
        </w:rPr>
        <w:t> </w:t>
      </w:r>
      <w:r>
        <w:rPr>
          <w:rFonts w:ascii="Times New Roman" w:hAnsi="Times New Roman"/>
          <w:b w:val="false"/>
          <w:i/>
          <w:color w:val="000000"/>
          <w:sz w:val="22"/>
        </w:rPr>
        <w:t xml:space="preserve">Religious considerations. </w:t>
      </w:r>
      <w:r>
        <w:rPr>
          <w:rFonts w:ascii="Times New Roman" w:hAnsi="Times New Roman"/>
          <w:b w:val="false"/>
          <w:i w:val="false"/>
          <w:color w:val="000000"/>
          <w:sz w:val="22"/>
        </w:rPr>
        <w:t>The foster parent shall respect the child(ren)’s religious background and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113.12(4)</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foster parents. </w:t>
      </w:r>
      <w:r>
        <w:rPr>
          <w:rFonts w:ascii="Times New Roman" w:hAnsi="Times New Roman"/>
          <w:b w:val="false"/>
          <w:i w:val="false"/>
          <w:color w:val="000000"/>
          <w:sz w:val="22"/>
        </w:rPr>
        <w:t>Foster parents shall be stable, responsible, physically able to care for the type of child(ren) placed, mature individuals who are not unsuited by reason of substance abuse, lewd or lascivious behavior or other conduct likely to be detrimental to the physical or mental health or morals of the child(ren). They shall exercise good judgment in caring for the child(ren) and have a capacity to accept agency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113.12(5)</w:t>
      </w:r>
      <w:r>
        <w:rPr>
          <w:rFonts w:ascii="Times New Roman" w:hAnsi="Times New Roman"/>
          <w:b w:val="false"/>
          <w:i w:val="false"/>
          <w:color w:val="000000"/>
          <w:sz w:val="22"/>
        </w:rPr>
        <w:t> </w:t>
      </w:r>
      <w:r>
        <w:rPr>
          <w:rFonts w:ascii="Times New Roman" w:hAnsi="Times New Roman"/>
          <w:b w:val="false"/>
          <w:i/>
          <w:color w:val="000000"/>
          <w:sz w:val="22"/>
        </w:rPr>
        <w:t xml:space="preserve">Personal characteristics. </w:t>
      </w:r>
      <w:r>
        <w:rPr>
          <w:rFonts w:ascii="Times New Roman" w:hAnsi="Times New Roman"/>
          <w:b w:val="false"/>
          <w:i w:val="false"/>
          <w:color w:val="000000"/>
          <w:sz w:val="22"/>
        </w:rPr>
        <w:t>The foster parents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evidence of relationship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realistic expectations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time available to parent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able to communicate with the licensing agency and health care and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functional literacy, a level of reading, writing and calculation skills such as having the ability to read labels on medications in order to properly administer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able to accept and deal with acting out behavior with realistic expectations and good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the child(ren) in normal family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the ability to be accepting and loving toward the child(ren) entering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 able to support the case permanency plan for the child(ren) and be willing to cooperate with visits, transportation, or other activities that support the child(ren)’s connection to and reunification with the child(ren)’s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Ensure that all family members are aware of having the child(ren)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Articulate their strengths and concerns and limitations which are essential to the department’s matching the child(ren) with foster parents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characteristics. </w:t>
      </w:r>
      <w:r>
        <w:rPr>
          <w:rFonts w:ascii="Times New Roman" w:hAnsi="Times New Roman"/>
          <w:b w:val="false"/>
          <w:i w:val="false"/>
          <w:color w:val="000000"/>
          <w:sz w:val="22"/>
        </w:rPr>
        <w:t xml:space="preserve">The areas discussed in subrules </w:t>
      </w:r>
      <w:hyperlink r:id="rId35">
        <w:r>
          <w:rPr>
            <w:rStyle w:val="Hyperlink"/>
            <w:rFonts w:ascii="Times New Roman" w:hAnsi="Times New Roman"/>
            <w:b w:val="false"/>
            <w:i w:val="false"/>
            <w:color w:val="000000"/>
            <w:sz w:val="22"/>
          </w:rPr>
          <w:t>113.12(4)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113.12(5)</w:t>
        </w:r>
      </w:hyperlink>
      <w:r>
        <w:rPr>
          <w:rFonts w:ascii="Times New Roman" w:hAnsi="Times New Roman"/>
          <w:b w:val="false"/>
          <w:i w:val="false"/>
          <w:color w:val="000000"/>
          <w:sz w:val="22"/>
        </w:rPr>
        <w:t xml:space="preserve"> shall be explored through observation of the family and interviews with family members and documented in a foster home study as described in subrule </w:t>
      </w:r>
      <w:hyperlink r:id="rId37">
        <w:r>
          <w:rPr>
            <w:rStyle w:val="Hyperlink"/>
            <w:rFonts w:ascii="Times New Roman" w:hAnsi="Times New Roman"/>
            <w:b w:val="false"/>
            <w:i w:val="false"/>
            <w:color w:val="000000"/>
            <w:sz w:val="22"/>
          </w:rPr>
          <w:t>113.3(4)</w:t>
        </w:r>
      </w:hyperlink>
      <w:r>
        <w:rPr>
          <w:rFonts w:ascii="Times New Roman" w:hAnsi="Times New Roman"/>
          <w:b w:val="false"/>
          <w:i w:val="false"/>
          <w:color w:val="000000"/>
          <w:sz w:val="22"/>
        </w:rPr>
        <w:t>, or in the foster family record when explored after licensure and prior to renewal. Any additional areas that the family or worker identifies as a possibility for creating problems shall also be documented in the foster family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441—113.13</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checks. </w:t>
      </w:r>
      <w:r>
        <w:rPr>
          <w:rFonts w:ascii="Times New Roman" w:hAnsi="Times New Roman"/>
          <w:b w:val="false"/>
          <w:i w:val="false"/>
          <w:color w:val="000000"/>
          <w:sz w:val="22"/>
        </w:rPr>
        <w:t>Record checks are required for each foster parent applicant and for anyone who is 14 years of age or older living in the home of the applicant. The purpose of the record checks is to determine whether any of these persons has any founded child abuse or dependent adult abuse reports or criminal convictions or has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department’s contractor for the recruitment and retention of resource families shall assist applicants in completing required record checks, including fingerprinting.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Iowa records. </w:t>
      </w:r>
      <w:r>
        <w:rPr>
          <w:rFonts w:ascii="Times New Roman" w:hAnsi="Times New Roman"/>
          <w:b w:val="false"/>
          <w:i w:val="false"/>
          <w:color w:val="000000"/>
          <w:sz w:val="22"/>
        </w:rPr>
        <w:t>Each foster parent applicant and anyone who is 14 years of age or older living in the home of the applicant shall be checked for records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Iowa central abuse registry, using Form 470-0643;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division of criminal investigation, using Form 595-1396;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sex offender registry;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Courts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foster parent applicant and any other adult living in the household shall also be checked for records on the child abuse registry of any state where the person has lived during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foster parent applicant shall also be fingerprinted for a national criminal history check. Fingerprinting, for the purpose of a national criminal history check, is required on all other adult household members at the time of initial application effective with applications dated on or after October 1, 2011. When warranted, the department may require fingerprinting for a national criminal history check on adult household members who move in after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113.13(2)</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If the applicant or anyone living in the home has a record of founded child or dependent adult abuse, a criminal conviction, or placement on the sex offender registry, the department shall not license the applicant as a foster family unless an evaluation determines that the abuse or criminal conviction does not warrant prohibition of license.</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Exclusion. </w:t>
      </w:r>
      <w:r>
        <w:rPr>
          <w:rFonts w:ascii="Times New Roman" w:hAnsi="Times New Roman"/>
          <w:b w:val="false"/>
          <w:i w:val="false"/>
          <w:color w:val="000000"/>
          <w:sz w:val="22"/>
        </w:rPr>
        <w:t>An evaluation shall not be performed if the person has been convicted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felony offense as set forth in Iowa Code section </w:t>
      </w:r>
      <w:hyperlink r:id="rId39">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crime in another state that would be a felony as set forth in Iowa Code section </w:t>
      </w:r>
      <w:hyperlink r:id="rId40">
        <w:r>
          <w:rPr>
            <w:rStyle w:val="Hyperlink"/>
            <w:rFonts w:ascii="Times New Roman" w:hAnsi="Times New Roman"/>
            <w:b w:val="false"/>
            <w:i w:val="false"/>
            <w:color w:val="000000"/>
            <w:sz w:val="22"/>
          </w:rPr>
          <w:t>237.8(2)</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evaluation shall consider the nature and seriousness of the founded child or dependent adult abuse or crime in relation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abuse or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abuse or crime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 xml:space="preserve">The person with the founded child or dependent adult abuse or criminal conviction report shall complete and return Form 470-2310 within ten calendar days of the date of receipt to be used to assist in the evaluation. Failure of the person to complete and return Form 470-2310 within the specified time frame shall result in denial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113.13(3)</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 xml:space="preserve">Centralized service area staff or designee shall conduct the evaluation and make the decision. The department shall issue Form 470-2310 to inform the subject of the decision and describe the basis of the decision using the criteria specified in </w:t>
      </w:r>
      <w:hyperlink r:id="rId41">
        <w:r>
          <w:rPr>
            <w:rStyle w:val="Hyperlink"/>
            <w:rFonts w:ascii="Times New Roman" w:hAnsi="Times New Roman"/>
            <w:b w:val="false"/>
            <w:i w:val="false"/>
            <w:color w:val="000000"/>
            <w:sz w:val="22"/>
          </w:rPr>
          <w:t>paragraph 113.13(2)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mail the form to the person on whom the evaluation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receipt of the completed Form 470-2310,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person whose record is being evaluated fails to complete the evaluation form within the time frame specified in paragraph </w:t>
      </w:r>
      <w:hyperlink r:id="rId42">
        <w:r>
          <w:rPr>
            <w:rStyle w:val="Hyperlink"/>
            <w:rFonts w:ascii="Times New Roman" w:hAnsi="Times New Roman"/>
            <w:b w:val="false"/>
            <w:i w:val="false"/>
            <w:color w:val="000000"/>
            <w:sz w:val="22"/>
          </w:rPr>
          <w:t>113.13(2)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113.13(4)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Foster parents applying for an annual or biennial license renewal shall be subject to the same checks as new applicants, except for fingerprinting. The department shall evaluate only abuses and convictions of crimes that occurred since the last record check. The evaluation shall be conducted using the same process.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237.8(2)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0356C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441—113.14</w:t>
      </w:r>
      <w:r>
        <w:rPr>
          <w:rFonts w:ascii="Times New Roman" w:hAnsi="Times New Roman"/>
          <w:b/>
          <w:i w:val="false"/>
          <w:color w:val="000000"/>
          <w:sz w:val="22"/>
        </w:rPr>
        <w:t xml:space="preserve">(237) </w:t>
      </w:r>
      <w:r>
        <w:rPr>
          <w:rFonts w:ascii="Times New Roman" w:hAnsi="Times New Roman"/>
          <w:b/>
          <w:i w:val="false"/>
          <w:color w:val="000000"/>
          <w:sz w:val="22"/>
        </w:rPr>
        <w:t xml:space="preserve">Reference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113.14(1)</w:t>
      </w:r>
      <w:r>
        <w:rPr>
          <w:rFonts w:ascii="Times New Roman" w:hAnsi="Times New Roman"/>
          <w:b w:val="false"/>
          <w:i w:val="false"/>
          <w:color w:val="000000"/>
          <w:sz w:val="22"/>
        </w:rPr>
        <w:t> </w:t>
      </w:r>
      <w:r>
        <w:rPr>
          <w:rFonts w:ascii="Times New Roman" w:hAnsi="Times New Roman"/>
          <w:b w:val="false"/>
          <w:i w:val="false"/>
          <w:color w:val="000000"/>
          <w:sz w:val="22"/>
        </w:rPr>
        <w:t>At least three additional unsolicited references shall be checked for all foster family home applicants in addition to a minimum of three references provided by the applicant. Required references shall include a minimum of one relative and one nonrelative.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113.14(2)</w:t>
      </w:r>
      <w:r>
        <w:rPr>
          <w:rFonts w:ascii="Times New Roman" w:hAnsi="Times New Roman"/>
          <w:b w:val="false"/>
          <w:i w:val="false"/>
          <w:color w:val="000000"/>
          <w:sz w:val="22"/>
        </w:rPr>
        <w:t> </w:t>
      </w:r>
      <w:r>
        <w:rPr>
          <w:rFonts w:ascii="Times New Roman" w:hAnsi="Times New Roman"/>
          <w:b w:val="false"/>
          <w:i w:val="false"/>
          <w:color w:val="000000"/>
          <w:sz w:val="22"/>
        </w:rPr>
        <w:t>Responses of references shall be documented in the applicant’s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113.14(3)</w:t>
      </w:r>
      <w:r>
        <w:rPr>
          <w:rFonts w:ascii="Times New Roman" w:hAnsi="Times New Roman"/>
          <w:b w:val="false"/>
          <w:i w:val="false"/>
          <w:color w:val="000000"/>
          <w:sz w:val="22"/>
        </w:rPr>
        <w:t> </w:t>
      </w:r>
      <w:r>
        <w:rPr>
          <w:rFonts w:ascii="Times New Roman" w:hAnsi="Times New Roman"/>
          <w:b w:val="false"/>
          <w:i w:val="false"/>
          <w:color w:val="000000"/>
          <w:sz w:val="22"/>
        </w:rPr>
        <w:t>Information received from references may be discussed with the applicant at the discretion of the worker. The reference shall be so informed.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113.14(4)</w:t>
      </w:r>
      <w:r>
        <w:rPr>
          <w:rFonts w:ascii="Times New Roman" w:hAnsi="Times New Roman"/>
          <w:b w:val="false"/>
          <w:i w:val="false"/>
          <w:color w:val="000000"/>
          <w:sz w:val="22"/>
        </w:rPr>
        <w:t> </w:t>
      </w:r>
      <w:r>
        <w:rPr>
          <w:rFonts w:ascii="Times New Roman" w:hAnsi="Times New Roman"/>
          <w:b w:val="false"/>
          <w:i w:val="false"/>
          <w:color w:val="000000"/>
          <w:sz w:val="22"/>
        </w:rPr>
        <w:t>Reference checks shall include only those areas related to the applicant’s ability to care for children and should include discussion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long and in what capacity the reference has known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qualities of the applicant including the general character, ability to get along with others, ability to deal with the child(ren)’s problem behavior, ability to give affection and care, discussion of use of drugs and alcohol, and questions regarding personal difficulties that could be detrimental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Relationship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applicant handles anger, problems, crisis situations, discipline, and disappointments.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areas of general concern not previously mentioned.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Would the reference feel comfortable leaving the child(ren) in this home for a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Recommendations regarding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113.14(5)</w:t>
      </w:r>
      <w:r>
        <w:rPr>
          <w:rFonts w:ascii="Times New Roman" w:hAnsi="Times New Roman"/>
          <w:b w:val="false"/>
          <w:i w:val="false"/>
          <w:color w:val="000000"/>
          <w:sz w:val="22"/>
        </w:rPr>
        <w:t> </w:t>
      </w:r>
      <w:r>
        <w:rPr>
          <w:rFonts w:ascii="Times New Roman" w:hAnsi="Times New Roman"/>
          <w:b w:val="false"/>
          <w:i w:val="false"/>
          <w:color w:val="000000"/>
          <w:sz w:val="22"/>
        </w:rPr>
        <w:t>When warranted, additional references may be sought after licensure.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5064C</w:t>
      </w:r>
      <w:r>
        <w:rPr>
          <w:rFonts w:ascii="Times New Roman" w:hAnsi="Times New Roman"/>
          <w:b w:val="false"/>
          <w:i w:val="false"/>
          <w:color w:val="000000"/>
          <w:sz w:val="16"/>
        </w:rPr>
        <w:t>, IAB 7/1/20, effective 9/1/20</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441—113.15</w:t>
      </w:r>
      <w:r>
        <w:rPr>
          <w:rFonts w:ascii="Times New Roman" w:hAnsi="Times New Roman"/>
          <w:b/>
          <w:i w:val="false"/>
          <w:color w:val="000000"/>
          <w:sz w:val="22"/>
        </w:rPr>
        <w:t xml:space="preserve">(237) </w:t>
      </w:r>
      <w:r>
        <w:rPr>
          <w:rFonts w:ascii="Times New Roman" w:hAnsi="Times New Roman"/>
          <w:b/>
          <w:i w:val="false"/>
          <w:color w:val="000000"/>
          <w:sz w:val="22"/>
        </w:rPr>
        <w:t xml:space="preserve">Unannounced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113.15(1)</w:t>
      </w:r>
      <w:r>
        <w:rPr>
          <w:rFonts w:ascii="Times New Roman" w:hAnsi="Times New Roman"/>
          <w:b w:val="false"/>
          <w:i w:val="false"/>
          <w:color w:val="000000"/>
          <w:sz w:val="22"/>
        </w:rPr>
        <w:t> </w:t>
      </w:r>
      <w:r>
        <w:rPr>
          <w:rFonts w:ascii="Times New Roman" w:hAnsi="Times New Roman"/>
          <w:b w:val="false"/>
          <w:i w:val="false"/>
          <w:color w:val="000000"/>
          <w:sz w:val="22"/>
        </w:rPr>
        <w:t>The department’s recruitment and retention contractor shall make unannounced visits during periods of the day when the child(ren) and foster parents would normally be at home and awake, unless there has been a specific complaint about the family and care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113.15(2)</w:t>
      </w:r>
      <w:r>
        <w:rPr>
          <w:rFonts w:ascii="Times New Roman" w:hAnsi="Times New Roman"/>
          <w:b w:val="false"/>
          <w:i w:val="false"/>
          <w:color w:val="000000"/>
          <w:sz w:val="22"/>
        </w:rPr>
        <w:t> </w:t>
      </w:r>
      <w:r>
        <w:rPr>
          <w:rFonts w:ascii="Times New Roman" w:hAnsi="Times New Roman"/>
          <w:b w:val="false"/>
          <w:i w:val="false"/>
          <w:color w:val="000000"/>
          <w:sz w:val="22"/>
        </w:rPr>
        <w:t>The unannounced visit shall include, but is not limited to, assessment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Who was present at the time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Interaction between the child(ren) and foster family and their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child(ren)’s perception of the foster parents, other child(ren) and adults in the home, behavioral expectations of foster parents, discipline used by foster parents, religious training, school, contact with natural parents, and purpose of placement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foster parents’ view of the child(ren), the child(ren)’s problem, placement worker’s involvement, plan for the child(ren), involvement of biological parents, and additional services that either the child(ren) or foster parents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previously or currently cited deficiencies, corrective action plans and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previous or current concerns from department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Discussion of placements during the licensing year and, if none, the reason why.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Progress on completing training in the foster parents’ training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Awareness of the foster parents’ license capacity and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Recommended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113.15(3)</w:t>
      </w:r>
      <w:r>
        <w:rPr>
          <w:rFonts w:ascii="Times New Roman" w:hAnsi="Times New Roman"/>
          <w:b w:val="false"/>
          <w:i w:val="false"/>
          <w:color w:val="000000"/>
          <w:sz w:val="22"/>
        </w:rPr>
        <w:t> </w:t>
      </w:r>
      <w:r>
        <w:rPr>
          <w:rFonts w:ascii="Times New Roman" w:hAnsi="Times New Roman"/>
          <w:b w:val="false"/>
          <w:i w:val="false"/>
          <w:color w:val="000000"/>
          <w:sz w:val="22"/>
        </w:rPr>
        <w:t>An unannounced visit to the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completed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not be waived;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Shall not occur in conjunction with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113.15(4)</w:t>
      </w:r>
      <w:r>
        <w:rPr>
          <w:rFonts w:ascii="Times New Roman" w:hAnsi="Times New Roman"/>
          <w:b w:val="false"/>
          <w:i w:val="false"/>
          <w:color w:val="000000"/>
          <w:sz w:val="22"/>
        </w:rPr>
        <w:t> </w:t>
      </w:r>
      <w:r>
        <w:rPr>
          <w:rFonts w:ascii="Times New Roman" w:hAnsi="Times New Roman"/>
          <w:b w:val="false"/>
          <w:i w:val="false"/>
          <w:color w:val="000000"/>
          <w:sz w:val="22"/>
        </w:rPr>
        <w:t>The findings from the unannounced visit shall be summarized on Form 470-5438.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shall be sent to the department licensing worker and the foster parents within two weeks after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report shall be retained in the foster parents’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113.15(5)</w:t>
      </w:r>
      <w:r>
        <w:rPr>
          <w:rFonts w:ascii="Times New Roman" w:hAnsi="Times New Roman"/>
          <w:b w:val="false"/>
          <w:i w:val="false"/>
          <w:color w:val="000000"/>
          <w:sz w:val="22"/>
        </w:rPr>
        <w:t> </w:t>
      </w:r>
      <w:r>
        <w:rPr>
          <w:rFonts w:ascii="Times New Roman" w:hAnsi="Times New Roman"/>
          <w:b w:val="false"/>
          <w:i w:val="false"/>
          <w:color w:val="000000"/>
          <w:sz w:val="22"/>
        </w:rPr>
        <w:t>Actions after the unannounced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deficiencies are cited that do not appear likely to cause immediate physical or mental harm to the child(ren), an additional visit may be scheduled. The department licensing worker and the recruitment and retention contractor shall discuss the deficiencies with the foster parents and make plans for improving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reported deficiencies raise questions of concern as to the quality of care provided, the recruitment and retention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deficiencies to the department licensing worker and to the placement worker for any child(ren) currently placed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 meeting with the department licensing worker and the foster parents to discuss deficiencies and the plans for improving the deficiencies and then complete a written corrective action plan as to how the foster parents intend to address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reported deficiencies appear likely to cause immediate physical or mental harm to the child(ren), the service area manager or designee shall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placement worker to determine if the child(ren) should be removed,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 the licensing worker to complete a review of the foster home to determine if the family should continue to be licensed, should receive a provisional license, or should have the license revoked according to </w:t>
      </w:r>
      <w:hyperlink r:id="rId45">
        <w:r>
          <w:rPr>
            <w:rStyle w:val="Hyperlink"/>
            <w:rFonts w:ascii="Times New Roman" w:hAnsi="Times New Roman"/>
            <w:b w:val="false"/>
            <w:i w:val="false"/>
            <w:color w:val="000000"/>
            <w:sz w:val="22"/>
          </w:rPr>
          <w:t>441—112.6</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113.15(6)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foster parents refuse to make a written commitment to improve the deficiencies, the department licensing worker shall conduct a complete review of the foster home to determine if the license should be revoked according to rule </w:t>
      </w:r>
      <w:hyperlink r:id="rId46">
        <w:r>
          <w:rPr>
            <w:rStyle w:val="Hyperlink"/>
            <w:rFonts w:ascii="Times New Roman" w:hAnsi="Times New Roman"/>
            <w:b w:val="false"/>
            <w:i w:val="false"/>
            <w:color w:val="000000"/>
            <w:sz w:val="22"/>
          </w:rPr>
          <w:t>441—112.6</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237.7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441—113.16</w:t>
      </w:r>
      <w:r>
        <w:rPr>
          <w:rFonts w:ascii="Times New Roman" w:hAnsi="Times New Roman"/>
          <w:b/>
          <w:i w:val="false"/>
          <w:color w:val="000000"/>
          <w:sz w:val="22"/>
        </w:rPr>
        <w:t xml:space="preserve">(237) </w:t>
      </w:r>
      <w:r>
        <w:rPr>
          <w:rFonts w:ascii="Times New Roman" w:hAnsi="Times New Roman"/>
          <w:b/>
          <w:i w:val="false"/>
          <w:color w:val="000000"/>
          <w:sz w:val="22"/>
        </w:rPr>
        <w:t xml:space="preserve">Planned activities and personal effects.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113.16(1)</w:t>
      </w:r>
      <w:r>
        <w:rPr>
          <w:rFonts w:ascii="Times New Roman" w:hAnsi="Times New Roman"/>
          <w:b w:val="false"/>
          <w:i w:val="false"/>
          <w:color w:val="000000"/>
          <w:sz w:val="22"/>
        </w:rPr>
        <w:t> </w:t>
      </w:r>
      <w:r>
        <w:rPr>
          <w:rFonts w:ascii="Times New Roman" w:hAnsi="Times New Roman"/>
          <w:b w:val="false"/>
          <w:i/>
          <w:color w:val="000000"/>
          <w:sz w:val="22"/>
        </w:rPr>
        <w:t xml:space="preserve">Daily routine. </w:t>
      </w:r>
      <w:r>
        <w:rPr>
          <w:rFonts w:ascii="Times New Roman" w:hAnsi="Times New Roman"/>
          <w:b w:val="false"/>
          <w:i w:val="false"/>
          <w:color w:val="000000"/>
          <w:sz w:val="22"/>
        </w:rPr>
        <w:t>The daily routine shall promote good health and provide an opportunity for activity suitable for the child(ren) with time for rest and 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113.16(2)</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child(ren) should have their own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child(ren) shall have training and help in selection and proper care of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Clothing shall be suited to the existing climate and seasonal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Clothing shall be becoming, of proper size, and culturally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clothing to permit laundering, cleaning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adequate closet and drawer space for the child(ren) to permit access to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113.16(3)</w:t>
      </w:r>
      <w:r>
        <w:rPr>
          <w:rFonts w:ascii="Times New Roman" w:hAnsi="Times New Roman"/>
          <w:b w:val="false"/>
          <w:i w:val="false"/>
          <w:color w:val="000000"/>
          <w:sz w:val="22"/>
        </w:rPr>
        <w:t> </w:t>
      </w:r>
      <w:r>
        <w:rPr>
          <w:rFonts w:ascii="Times New Roman" w:hAnsi="Times New Roman"/>
          <w:b w:val="false"/>
          <w:i/>
          <w:color w:val="000000"/>
          <w:sz w:val="22"/>
        </w:rPr>
        <w:t xml:space="preserve">Educational opportunity. </w:t>
      </w:r>
      <w:r>
        <w:rPr>
          <w:rFonts w:ascii="Times New Roman" w:hAnsi="Times New Roman"/>
          <w:b w:val="false"/>
          <w:i w:val="false"/>
          <w:color w:val="000000"/>
          <w:sz w:val="22"/>
        </w:rPr>
        <w:t>Every child shall be given the opportunity to complete high school or vocational training in accordance with the child’s case permanency plan. The foster parent shall be an advocate for the child(ren) by working with the child(ren)’s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113.16(4)</w:t>
      </w:r>
      <w:r>
        <w:rPr>
          <w:rFonts w:ascii="Times New Roman" w:hAnsi="Times New Roman"/>
          <w:b w:val="false"/>
          <w:i w:val="false"/>
          <w:color w:val="000000"/>
          <w:sz w:val="22"/>
        </w:rPr>
        <w:t> </w:t>
      </w:r>
      <w:r>
        <w:rPr>
          <w:rFonts w:ascii="Times New Roman" w:hAnsi="Times New Roman"/>
          <w:b w:val="false"/>
          <w:i/>
          <w:color w:val="000000"/>
          <w:sz w:val="22"/>
        </w:rPr>
        <w:t xml:space="preserve">Religion and culture. </w:t>
      </w:r>
      <w:r>
        <w:rPr>
          <w:rFonts w:ascii="Times New Roman" w:hAnsi="Times New Roman"/>
          <w:b w:val="false"/>
          <w:i w:val="false"/>
          <w:color w:val="000000"/>
          <w:sz w:val="22"/>
        </w:rPr>
        <w:t>Each child shall be given an opportunity, in consultation with the child’s parents, to participate in the child’s culture and religion. The child(ren) shall not be required to participate in religious training or observances contrary to the wishes of the biological or adoptive family or the religious beliefs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113.16(5)</w:t>
      </w:r>
      <w:r>
        <w:rPr>
          <w:rFonts w:ascii="Times New Roman" w:hAnsi="Times New Roman"/>
          <w:b w:val="false"/>
          <w:i w:val="false"/>
          <w:color w:val="000000"/>
          <w:sz w:val="22"/>
        </w:rPr>
        <w:t> </w:t>
      </w:r>
      <w:r>
        <w:rPr>
          <w:rFonts w:ascii="Times New Roman" w:hAnsi="Times New Roman"/>
          <w:b w:val="false"/>
          <w:i/>
          <w:color w:val="000000"/>
          <w:sz w:val="22"/>
        </w:rPr>
        <w:t xml:space="preserve">Community participation. </w:t>
      </w:r>
      <w:r>
        <w:rPr>
          <w:rFonts w:ascii="Times New Roman" w:hAnsi="Times New Roman"/>
          <w:b w:val="false"/>
          <w:i w:val="false"/>
          <w:color w:val="000000"/>
          <w:sz w:val="22"/>
        </w:rPr>
        <w:t>Every child shall be given the opportunity to develop healthy social relationships through participation in neighborhood, school and other community and group activities. The child(ren) shall have the opportunity to invite friends to the foster home and to visit the home of friends.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113.16(6)</w:t>
      </w:r>
      <w:r>
        <w:rPr>
          <w:rFonts w:ascii="Times New Roman" w:hAnsi="Times New Roman"/>
          <w:b w:val="false"/>
          <w:i w:val="false"/>
          <w:color w:val="000000"/>
          <w:sz w:val="22"/>
        </w:rPr>
        <w:t> </w:t>
      </w:r>
      <w:r>
        <w:rPr>
          <w:rFonts w:ascii="Times New Roman" w:hAnsi="Times New Roman"/>
          <w:b w:val="false"/>
          <w:i/>
          <w:color w:val="000000"/>
          <w:sz w:val="22"/>
        </w:rPr>
        <w:t xml:space="preserve">Work assignments. </w:t>
      </w:r>
      <w:r>
        <w:rPr>
          <w:rFonts w:ascii="Times New Roman" w:hAnsi="Times New Roman"/>
          <w:b w:val="false"/>
          <w:i w:val="false"/>
          <w:color w:val="000000"/>
          <w:sz w:val="22"/>
        </w:rPr>
        <w:t>Work assignments shall be in keeping with the child(ren)’s age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Exploitation of the child(ren) is prohibited. No child(ren) shall be permitted to do any hazardous tasks or to engage in any work which is in violation of the child labor laws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child(ren) shall have the opportunity to learn to assume some responsibility for self and for household duties in accordance with the child(ren)’s age, health and ability. However, assigned tasks shall not deprive the child(ren) of school, sleep, play or study periods.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441—113.17</w:t>
      </w:r>
      <w:r>
        <w:rPr>
          <w:rFonts w:ascii="Times New Roman" w:hAnsi="Times New Roman"/>
          <w:b/>
          <w:i w:val="false"/>
          <w:color w:val="000000"/>
          <w:sz w:val="22"/>
        </w:rPr>
        <w:t xml:space="preserve">(237) </w:t>
      </w:r>
      <w:r>
        <w:rPr>
          <w:rFonts w:ascii="Times New Roman" w:hAnsi="Times New Roman"/>
          <w:b/>
          <w:i w:val="false"/>
          <w:color w:val="000000"/>
          <w:sz w:val="22"/>
        </w:rPr>
        <w:t xml:space="preserve">Medical examinations and health care of the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113.17(1)</w:t>
      </w:r>
      <w:r>
        <w:rPr>
          <w:rFonts w:ascii="Times New Roman" w:hAnsi="Times New Roman"/>
          <w:b w:val="false"/>
          <w:i w:val="false"/>
          <w:color w:val="000000"/>
          <w:sz w:val="22"/>
        </w:rPr>
        <w:t> </w:t>
      </w:r>
      <w:r>
        <w:rPr>
          <w:rFonts w:ascii="Times New Roman" w:hAnsi="Times New Roman"/>
          <w:b w:val="false"/>
          <w:i/>
          <w:color w:val="000000"/>
          <w:sz w:val="22"/>
        </w:rPr>
        <w:t xml:space="preserve">Medical and dental care. </w:t>
      </w:r>
      <w:r>
        <w:rPr>
          <w:rFonts w:ascii="Times New Roman" w:hAnsi="Times New Roman"/>
          <w:b w:val="false"/>
          <w:i w:val="false"/>
          <w:color w:val="000000"/>
          <w:sz w:val="22"/>
        </w:rPr>
        <w:t xml:space="preserve">Foster parents shall keep the child(ren)’s department case manager informed of any medical and dental appointments and treatments prescribed for the child(ren).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parents shall contact the child(ren)’s parents to engage them in the process of accessing routine medical and dental care for their child(ren) unless parental rights have been terminated.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 of an emergency or urgent situation requiring medical care and treatment of an acute illness, disease or condition of the child(ren), when a delay or inability to access parental or department consent for medical care or treatment would endanger the health or physical well-being of the child(ren), the foster parents can provide consent for medical care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113.17(2)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medical care. </w:t>
      </w:r>
      <w:r>
        <w:rPr>
          <w:rFonts w:ascii="Times New Roman" w:hAnsi="Times New Roman"/>
          <w:b w:val="false"/>
          <w:i w:val="false"/>
          <w:color w:val="000000"/>
          <w:sz w:val="22"/>
        </w:rPr>
        <w:t>Nothing in this rule shall be construed to require medical treatment or immunization for a minor child of any person who is a member of a church or religious organization which is against medical treatment for disease. In such instance, an official statement from the organization and a notarized statement from the parents shall be incorporated in the record. In potentially life-threatening situations, the child’s care shall be referred to appropriate medical and legal authorities.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7606B</w:t>
      </w:r>
      <w:r>
        <w:rPr>
          <w:rFonts w:ascii="Times New Roman" w:hAnsi="Times New Roman"/>
          <w:b w:val="false"/>
          <w:i w:val="false"/>
          <w:color w:val="000000"/>
          <w:sz w:val="16"/>
        </w:rPr>
        <w:t>, IAB 3/11/09, effective 5/1/09</w:t>
      </w:r>
      <w:r>
        <w:rPr>
          <w:rFonts w:ascii="Times New Roman" w:hAnsi="Times New Roman"/>
          <w:b w:val="false"/>
          <w:i w:val="false"/>
          <w:color w:val="000000"/>
          <w:sz w:val="16"/>
        </w:rPr>
        <w:t xml:space="preserve">; </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441—113.18</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and discipline of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113.18(1)</w:t>
      </w:r>
      <w:r>
        <w:rPr>
          <w:rFonts w:ascii="Times New Roman" w:hAnsi="Times New Roman"/>
          <w:b w:val="false"/>
          <w:i w:val="false"/>
          <w:color w:val="000000"/>
          <w:sz w:val="22"/>
        </w:rPr>
        <w:t> </w:t>
      </w:r>
      <w:r>
        <w:rPr>
          <w:rFonts w:ascii="Times New Roman" w:hAnsi="Times New Roman"/>
          <w:b w:val="false"/>
          <w:i/>
          <w:color w:val="000000"/>
          <w:sz w:val="22"/>
        </w:rPr>
        <w:t xml:space="preserve">Foster parents’ methods of training and discipline. </w:t>
      </w:r>
      <w:r>
        <w:rPr>
          <w:rFonts w:ascii="Times New Roman" w:hAnsi="Times New Roman"/>
          <w:b w:val="false"/>
          <w:i w:val="false"/>
          <w:color w:val="000000"/>
          <w:sz w:val="22"/>
        </w:rPr>
        <w:t>The home study evaluation of each foster parent applicant shall include a discussion and a written report of the foster parents’ methods of training and discipline. Discipline shall be designed to help the child(ren) develop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113.18(2)</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training and discipline. </w:t>
      </w:r>
      <w:r>
        <w:rPr>
          <w:rFonts w:ascii="Times New Roman" w:hAnsi="Times New Roman"/>
          <w:b w:val="false"/>
          <w:i w:val="false"/>
          <w:color w:val="000000"/>
          <w:sz w:val="22"/>
        </w:rPr>
        <w:t>Training and discipline of the child(ren) shall be handled with kindness and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child(ren) shall not be locked in a room, closet, box, or other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child(ren) shall be deprived of food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child(ren) shall be subjected to verbal abuse, threats or derogatory remarks about the child(ren) or the child(ren)’s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corporal punishment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Restraints shall not be used as a form of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physical force may be used to restrain the child(ren) only in order to prevent injury to the child(ren), injury to others, the destruction of property, or extremely disruptive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approval of the department, the foster parent may use restraints only in accordance with the written plan of a licensed mental health professional who is working with the child(ren) and the foster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113.18(3)</w:t>
      </w:r>
      <w:r>
        <w:rPr>
          <w:rFonts w:ascii="Times New Roman" w:hAnsi="Times New Roman"/>
          <w:b w:val="false"/>
          <w:i w:val="false"/>
          <w:color w:val="000000"/>
          <w:sz w:val="22"/>
        </w:rPr>
        <w:t> </w:t>
      </w:r>
      <w:r>
        <w:rPr>
          <w:rFonts w:ascii="Times New Roman" w:hAnsi="Times New Roman"/>
          <w:b w:val="false"/>
          <w:i/>
          <w:color w:val="000000"/>
          <w:sz w:val="22"/>
        </w:rPr>
        <w:t xml:space="preserve">Reports of mistreatment. </w:t>
      </w:r>
      <w:r>
        <w:rPr>
          <w:rFonts w:ascii="Times New Roman" w:hAnsi="Times New Roman"/>
          <w:b w:val="false"/>
          <w:i w:val="false"/>
          <w:color w:val="000000"/>
          <w:sz w:val="22"/>
        </w:rPr>
        <w:t>Reports of mistreatment coming to the attention of the department licensing worker and caseworker for the child(ren) shall be investigated promptly and referred to the proper authorities when necessary.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234.40</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441—113.19</w:t>
      </w:r>
      <w:r>
        <w:rPr>
          <w:rFonts w:ascii="Times New Roman" w:hAnsi="Times New Roman"/>
          <w:b/>
          <w:i w:val="false"/>
          <w:color w:val="000000"/>
          <w:sz w:val="22"/>
        </w:rPr>
        <w:t xml:space="preserve">(237) </w:t>
      </w:r>
      <w:r>
        <w:rPr>
          <w:rFonts w:ascii="Times New Roman" w:hAnsi="Times New Roman"/>
          <w:b/>
          <w:i w:val="false"/>
          <w:color w:val="000000"/>
          <w:sz w:val="22"/>
        </w:rPr>
        <w:t xml:space="preserve">Emergency care and release of child(ren).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113.19(1)</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arrangements for emergency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Foster parents shall provide supervision of the child(ren) in preadoptive placement as dictated by the individual child’s specific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 of emergency requiring the foster parents’ temporary absence from the home, arrangements shall be made with other licensed foster parents or with designated, responsible persons for the care of the child(ren) during the period of absence. The child(ren)’s placement worker shall be notified of all emergency absences of the foster parents.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113.19(2)</w:t>
      </w:r>
      <w:r>
        <w:rPr>
          <w:rFonts w:ascii="Times New Roman" w:hAnsi="Times New Roman"/>
          <w:b w:val="false"/>
          <w:i w:val="false"/>
          <w:color w:val="000000"/>
          <w:sz w:val="22"/>
        </w:rPr>
        <w:t> </w:t>
      </w:r>
      <w:r>
        <w:rPr>
          <w:rFonts w:ascii="Times New Roman" w:hAnsi="Times New Roman"/>
          <w:b w:val="false"/>
          <w:i/>
          <w:color w:val="000000"/>
          <w:sz w:val="22"/>
        </w:rPr>
        <w:t xml:space="preserve">Release of child(ren). </w:t>
      </w:r>
      <w:r>
        <w:rPr>
          <w:rFonts w:ascii="Times New Roman" w:hAnsi="Times New Roman"/>
          <w:b w:val="false"/>
          <w:i w:val="false"/>
          <w:color w:val="000000"/>
          <w:sz w:val="22"/>
        </w:rPr>
        <w:t>The foster parents shall release the child(ren) only to the agency, parent or guardian from whom the child(ren) were received for care, or the person specifically designated by the agency, parent or guardian.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441—113.20</w:t>
      </w:r>
      <w:r>
        <w:rPr>
          <w:rFonts w:ascii="Times New Roman" w:hAnsi="Times New Roman"/>
          <w:b/>
          <w:i w:val="false"/>
          <w:color w:val="000000"/>
          <w:sz w:val="22"/>
        </w:rPr>
        <w:t xml:space="preserve">(237) </w:t>
      </w:r>
      <w:r>
        <w:rPr>
          <w:rFonts w:ascii="Times New Roman" w:hAnsi="Times New Roman"/>
          <w:b/>
          <w:i w:val="false"/>
          <w:color w:val="000000"/>
          <w:sz w:val="22"/>
        </w:rPr>
        <w:t xml:space="preserve">Changes in foster family home. </w:t>
      </w:r>
      <w:r>
        <w:rPr>
          <w:rFonts w:ascii="Times New Roman" w:hAnsi="Times New Roman"/>
          <w:b w:val="false"/>
          <w:i w:val="false"/>
          <w:color w:val="000000"/>
          <w:sz w:val="22"/>
        </w:rPr>
        <w:t>Foster parents shall notify the department and the recruitment and retention contractor within seven working days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change in the number of persons living in the home (except for the child(ren) placed in the home);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move to a new home;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circumstances in the home that could negatively affect the health, safety or welfare of the child(ren) in the family’s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6961C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6/2/81, Notice 1/7/81—published 6/24/81, effective 8/1/81]</w:t>
      </w:r>
    </w:p>
    <w:p>
      <w:pPr>
        <w:spacing w:before="0" w:after="0"/>
        <w:ind w:left="120"/>
        <w:jc w:val="center"/>
      </w:pPr>
      <w:r>
        <w:rPr>
          <w:rFonts w:ascii="Times New Roman" w:hAnsi="Times New Roman"/>
          <w:b w:val="false"/>
          <w:i w:val="false"/>
          <w:color w:val="000000"/>
          <w:sz w:val="21"/>
        </w:rPr>
        <w:t>[Filed 8/24/81, Notice 5/27/81—published 9/16/81, effective 11/1/81]</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8/28/87, Notice 7/15/87—published 9/23/87, effective 11/1/87]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7/13/89, Notice 5/31/89—published 8/9/89, effective 10/1/89]</w:t>
      </w:r>
    </w:p>
    <w:p>
      <w:pPr>
        <w:spacing w:before="0" w:after="0"/>
        <w:ind w:left="120"/>
        <w:jc w:val="center"/>
      </w:pPr>
      <w:r>
        <w:rPr>
          <w:rFonts w:ascii="Times New Roman" w:hAnsi="Times New Roman"/>
          <w:b w:val="false"/>
          <w:i w:val="false"/>
          <w:color w:val="000000"/>
          <w:sz w:val="21"/>
        </w:rPr>
        <w:t>[Filed 8/14/92, Notice 6/24/92—published 9/2/92, effective 11/1/92]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3/20/95, Notice 1/18/95—published 4/12/95, effective 6/1/95]</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10/10/02, Notice 7/24/02—published 10/30/02, effective 1/1/03]</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ARC 7606B</w:t>
      </w:r>
      <w:r>
        <w:rPr>
          <w:rFonts w:ascii="Times New Roman" w:hAnsi="Times New Roman"/>
          <w:b w:val="false"/>
          <w:i w:val="false"/>
          <w:color w:val="000000"/>
          <w:sz w:val="21"/>
        </w:rPr>
        <w:t xml:space="preserve"> (Notice ARC 7372B, IAB 12/3/08)</w:t>
      </w:r>
      <w:r>
        <w:rPr>
          <w:rFonts w:ascii="Times New Roman" w:hAnsi="Times New Roman"/>
          <w:b w:val="false"/>
          <w:i w:val="false"/>
          <w:color w:val="000000"/>
          <w:sz w:val="21"/>
        </w:rPr>
        <w:t>, IAB 3/11/09, effective 5/1/09]</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0357C</w:t>
      </w:r>
      <w:r>
        <w:rPr>
          <w:rFonts w:ascii="Times New Roman" w:hAnsi="Times New Roman"/>
          <w:b w:val="false"/>
          <w:i w:val="false"/>
          <w:color w:val="000000"/>
          <w:sz w:val="21"/>
        </w:rPr>
        <w:t xml:space="preserve"> (Notice ARC 0206C,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0356C</w:t>
      </w:r>
      <w:r>
        <w:rPr>
          <w:rFonts w:ascii="Times New Roman" w:hAnsi="Times New Roman"/>
          <w:b w:val="false"/>
          <w:i w:val="false"/>
          <w:color w:val="000000"/>
          <w:sz w:val="21"/>
        </w:rPr>
        <w:t xml:space="preserve"> (Notice ARC 0202C,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5064C</w:t>
      </w:r>
      <w:r>
        <w:rPr>
          <w:rFonts w:ascii="Times New Roman" w:hAnsi="Times New Roman"/>
          <w:b w:val="false"/>
          <w:i w:val="false"/>
          <w:color w:val="000000"/>
          <w:sz w:val="21"/>
        </w:rPr>
        <w:t xml:space="preserve"> (Notice ARC 5024C, IAB 4/8/20)</w:t>
      </w:r>
      <w:r>
        <w:rPr>
          <w:rFonts w:ascii="Times New Roman" w:hAnsi="Times New Roman"/>
          <w:b w:val="false"/>
          <w:i w:val="false"/>
          <w:color w:val="000000"/>
          <w:sz w:val="21"/>
        </w:rPr>
        <w:t>, IAB 7/1/20, effective 9/1/20]</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6961C</w:t>
      </w:r>
      <w:r>
        <w:rPr>
          <w:rFonts w:ascii="Times New Roman" w:hAnsi="Times New Roman"/>
          <w:b w:val="false"/>
          <w:i w:val="false"/>
          <w:color w:val="000000"/>
          <w:sz w:val="21"/>
        </w:rPr>
        <w:t xml:space="preserve"> (Notice ARC 6836C, IAB 1/25/23)</w:t>
      </w:r>
      <w:r>
        <w:rPr>
          <w:rFonts w:ascii="Times New Roman" w:hAnsi="Times New Roman"/>
          <w:b w:val="false"/>
          <w:i w:val="false"/>
          <w:color w:val="000000"/>
          <w:sz w:val="21"/>
        </w:rPr>
        <w:t>, IAB 4/5/23, effective 6/1/23]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2.pdf" Type="http://schemas.openxmlformats.org/officeDocument/2006/relationships/hyperlink" Id="rId5"/>
    <Relationship TargetMode="External" Target="https://www.legis.iowa.gov/docs/ico/chapter/237.pdf" Type="http://schemas.openxmlformats.org/officeDocument/2006/relationships/hyperlink" Id="rId6"/>
    <Relationship TargetMode="External" Target="https://www.legis.iowa.gov/docs/ico/chapter/237.pdf" Type="http://schemas.openxmlformats.org/officeDocument/2006/relationships/hyperlink" Id="rId7"/>
    <Relationship TargetMode="External" Target="https://www.legis.iowa.gov/docs/iac/rule/441.112.3.pdf" Type="http://schemas.openxmlformats.org/officeDocument/2006/relationships/hyperlink" Id="rId8"/>
    <Relationship TargetMode="External" Target="https://www.legis.iowa.gov/docs/iac/rule/441.113.13.pdf" Type="http://schemas.openxmlformats.org/officeDocument/2006/relationships/hyperlink" Id="rId9"/>
    <Relationship TargetMode="External" Target="https://www.legis.iowa.gov/docs/iac/rule/441.113.11.pdf" Type="http://schemas.openxmlformats.org/officeDocument/2006/relationships/hyperlink" Id="rId10"/>
    <Relationship TargetMode="External" Target="https://www.legis.iowa.gov/docs/iac/rule/441.117.2.pdf" Type="http://schemas.openxmlformats.org/officeDocument/2006/relationships/hyperlink" Id="rId11"/>
    <Relationship TargetMode="External" Target="https://www.legis.iowa.gov/docs/iac/rule/441.113.13.pdf" Type="http://schemas.openxmlformats.org/officeDocument/2006/relationships/hyperlink" Id="rId12"/>
    <Relationship TargetMode="External" Target="https://www.legis.iowa.gov/docs/iac/rule/441.117.1.pdf" Type="http://schemas.openxmlformats.org/officeDocument/2006/relationships/hyperlink" Id="rId13"/>
    <Relationship TargetMode="External" Target="https://www.legis.iowa.gov/docs/iac/rule/441.113.14.pdf" Type="http://schemas.openxmlformats.org/officeDocument/2006/relationships/hyperlink" Id="rId14"/>
    <Relationship TargetMode="External" Target="https://www.legis.iowa.gov/docs/iac/rule/441.112.4.pdf" Type="http://schemas.openxmlformats.org/officeDocument/2006/relationships/hyperlink" Id="rId15"/>
    <Relationship TargetMode="External" Target="https://www.legis.iowa.gov/docs/iac/rule/441.113.4.pdf" Type="http://schemas.openxmlformats.org/officeDocument/2006/relationships/hyperlink" Id="rId16"/>
    <Relationship TargetMode="External" Target="https://www.legis.iowa.gov/docs/iac/rule/441.112.5.pdf" Type="http://schemas.openxmlformats.org/officeDocument/2006/relationships/hyperlink" Id="rId17"/>
    <Relationship TargetMode="External" Target="https://www.legis.iowa.gov/docs/iac/rule/441.112.8.pdf" Type="http://schemas.openxmlformats.org/officeDocument/2006/relationships/hyperlink" Id="rId18"/>
    <Relationship TargetMode="External" Target="https://www.legis.iowa.gov/docs/ico/chapter/237.5.pdf" Type="http://schemas.openxmlformats.org/officeDocument/2006/relationships/hyperlink" Id="rId19"/>
    <Relationship TargetMode="External" Target="https://www.legis.iowa.gov/docs/ico/chapter/237.3.pdf" Type="http://schemas.openxmlformats.org/officeDocument/2006/relationships/hyperlink" Id="rId20"/>
    <Relationship TargetMode="External" Target="https://www.legis.iowa.gov/docs/ico/chapter/237.5.pdf" Type="http://schemas.openxmlformats.org/officeDocument/2006/relationships/hyperlink" Id="rId21"/>
    <Relationship TargetMode="External" Target="https://www.legis.iowa.gov/docs/iac/chapter/641.70.pdf" Type="http://schemas.openxmlformats.org/officeDocument/2006/relationships/hyperlink" Id="rId22"/>
    <Relationship TargetMode="External" Target="https://www.legis.iowa.gov/docs/ico/chapter/237.3.pdf" Type="http://schemas.openxmlformats.org/officeDocument/2006/relationships/hyperlink" Id="rId23"/>
    <Relationship TargetMode="External" Target="https://www.legis.iowa.gov/docs/ico/chapter/237.3.pdf" Type="http://schemas.openxmlformats.org/officeDocument/2006/relationships/hyperlink" Id="rId24"/>
    <Relationship TargetMode="External" Target="https://www.legis.iowa.gov/docs/ico/chapter/237.3.pdf" Type="http://schemas.openxmlformats.org/officeDocument/2006/relationships/hyperlink" Id="rId25"/>
    <Relationship TargetMode="External" Target="https://www.legis.iowa.gov/docs/iac/rule/441.117.2.pdf" Type="http://schemas.openxmlformats.org/officeDocument/2006/relationships/hyperlink" Id="rId26"/>
    <Relationship TargetMode="External" Target="https://www.legis.iowa.gov/docs/iac/rule/441.117.1.pdf" Type="http://schemas.openxmlformats.org/officeDocument/2006/relationships/hyperlink" Id="rId27"/>
    <Relationship TargetMode="External" Target="https://www.legis.iowa.gov/docs/iac/rule/441.112.10.pdf" Type="http://schemas.openxmlformats.org/officeDocument/2006/relationships/hyperlink" Id="rId28"/>
    <Relationship TargetMode="External" Target="https://www.legis.iowa.gov/docs/iac/rule/441.117.8.pdf" Type="http://schemas.openxmlformats.org/officeDocument/2006/relationships/hyperlink" Id="rId29"/>
    <Relationship TargetMode="External" Target="https://www.legis.iowa.gov/docs/iac/rule/441.117.7.pdf" Type="http://schemas.openxmlformats.org/officeDocument/2006/relationships/hyperlink" Id="rId30"/>
    <Relationship TargetMode="External" Target="https://www.legis.iowa.gov/docs/ico/chapter/237.5A.pdf" Type="http://schemas.openxmlformats.org/officeDocument/2006/relationships/hyperlink" Id="rId31"/>
    <Relationship TargetMode="External" Target="https://www.legis.iowa.gov/docs/ico/chapter/237.3.pdf" Type="http://schemas.openxmlformats.org/officeDocument/2006/relationships/hyperlink" Id="rId32"/>
    <Relationship TargetMode="External" Target="https://www.legis.iowa.gov/docs/ico/chapter/237.7.pdf" Type="http://schemas.openxmlformats.org/officeDocument/2006/relationships/hyperlink" Id="rId33"/>
    <Relationship TargetMode="External" Target="https://www.legis.iowa.gov/docs/ico/chapter/237.7.pdf" Type="http://schemas.openxmlformats.org/officeDocument/2006/relationships/hyperlink" Id="rId34"/>
    <Relationship TargetMode="External" Target="https://www.legis.iowa.gov/docs/iac/rule/441.113.12.pdf" Type="http://schemas.openxmlformats.org/officeDocument/2006/relationships/hyperlink" Id="rId35"/>
    <Relationship TargetMode="External" Target="https://www.legis.iowa.gov/docs/iac/rule/441.113.12.pdf" Type="http://schemas.openxmlformats.org/officeDocument/2006/relationships/hyperlink" Id="rId36"/>
    <Relationship TargetMode="External" Target="https://www.legis.iowa.gov/docs/iac/rule/441.113.3.pdf" Type="http://schemas.openxmlformats.org/officeDocument/2006/relationships/hyperlink" Id="rId37"/>
    <Relationship TargetMode="External" Target="https://www.legis.iowa.gov/docs/ico/chapter/237.3.pdf" Type="http://schemas.openxmlformats.org/officeDocument/2006/relationships/hyperlink" Id="rId38"/>
    <Relationship TargetMode="External" Target="https://www.legis.iowa.gov/docs/ico/chapter/237.8.pdf" Type="http://schemas.openxmlformats.org/officeDocument/2006/relationships/hyperlink" Id="rId39"/>
    <Relationship TargetMode="External" Target="https://www.legis.iowa.gov/docs/ico/chapter/237.8.pdf" Type="http://schemas.openxmlformats.org/officeDocument/2006/relationships/hyperlink" Id="rId40"/>
    <Relationship TargetMode="External" Target="https://www.legis.iowa.gov/docs/iac/rule/441.113.13.pdf" Type="http://schemas.openxmlformats.org/officeDocument/2006/relationships/hyperlink" Id="rId41"/>
    <Relationship TargetMode="External" Target="https://www.legis.iowa.gov/docs/iac/rule/441.113.13.pdf" Type="http://schemas.openxmlformats.org/officeDocument/2006/relationships/hyperlink" Id="rId42"/>
    <Relationship TargetMode="External" Target="https://www.legis.iowa.gov/docs/ico/chapter/237.8.pdf" Type="http://schemas.openxmlformats.org/officeDocument/2006/relationships/hyperlink" Id="rId43"/>
    <Relationship TargetMode="External" Target="https://www.legis.iowa.gov/docs/ico/chapter/237.3.pdf" Type="http://schemas.openxmlformats.org/officeDocument/2006/relationships/hyperlink" Id="rId44"/>
    <Relationship TargetMode="External" Target="https://www.legis.iowa.gov/docs/iac/rule/441.112.6.pdf" Type="http://schemas.openxmlformats.org/officeDocument/2006/relationships/hyperlink" Id="rId45"/>
    <Relationship TargetMode="External" Target="https://www.legis.iowa.gov/docs/iac/rule/441.112.6.pdf" Type="http://schemas.openxmlformats.org/officeDocument/2006/relationships/hyperlink" Id="rId46"/>
    <Relationship TargetMode="External" Target="https://www.legis.iowa.gov/docs/ico/chapter/237.7.pdf" Type="http://schemas.openxmlformats.org/officeDocument/2006/relationships/hyperlink" Id="rId47"/>
    <Relationship TargetMode="External" Target="https://www.legis.iowa.gov/docs/ico/chapter/237.3.pdf" Type="http://schemas.openxmlformats.org/officeDocument/2006/relationships/hyperlink" Id="rId48"/>
    <Relationship TargetMode="External" Target="https://www.legis.iowa.gov/docs/ico/chapter/237.3.pdf" Type="http://schemas.openxmlformats.org/officeDocument/2006/relationships/hyperlink" Id="rId49"/>
    <Relationship TargetMode="External" Target="https://www.legis.iowa.gov/docs/ico/chapter/234.40.pdf" Type="http://schemas.openxmlformats.org/officeDocument/2006/relationships/hyperlink" Id="rId50"/>
    <Relationship TargetMode="External" Target="https://www.legis.iowa.gov/docs/ico/chapter/237.3.pdf" Type="http://schemas.openxmlformats.org/officeDocument/2006/relationships/hyperlink" Id="rId51"/>
    <Relationship TargetMode="External" Target="https://www.legis.iowa.gov/docs/ico/chapter/237.3.pdf" Type="http://schemas.openxmlformats.org/officeDocument/2006/relationships/hyperlink" Id="rId52"/>
    <Relationship TargetMode="External" Target="https://www.legis.iowa.gov/docs/ico/chapter/237.3.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