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112</w:t>
      </w:r>
    </w:p>
    <w:p>
      <w:pPr>
        <w:spacing w:before="0" w:after="0"/>
        <w:ind w:left="120"/>
        <w:jc w:val="center"/>
      </w:pPr>
      <w:r>
        <w:rPr>
          <w:rFonts w:ascii="Times New Roman" w:hAnsi="Times New Roman"/>
          <w:b w:val="false"/>
          <w:i w:val="false"/>
          <w:color w:val="000000"/>
          <w:sz w:val="21"/>
        </w:rPr>
        <w:t>LICENSING AND REGULATION OF CHILD FOSTER CARE FACILITIES</w:t>
      </w:r>
    </w:p>
    <w:p>
      <w:pPr>
        <w:spacing w:before="0" w:after="0"/>
        <w:ind w:left="120"/>
        <w:jc w:val="center"/>
      </w:pPr>
      <w:r>
        <w:rPr>
          <w:rFonts w:ascii="Times New Roman" w:hAnsi="Times New Roman"/>
          <w:b w:val="false"/>
          <w:i w:val="false"/>
          <w:color w:val="000000"/>
          <w:sz w:val="14"/>
        </w:rPr>
        <w:t>[Prior to 7/1/83, Social Services[770] Ch 112]</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441—112.1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relates to licensing procedures for all child foster care facilities authorized by Iowa Code chapter </w:t>
      </w:r>
      <w:hyperlink r:id="rId5">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Rules relating to specific types of facilities are located in </w:t>
      </w:r>
      <w:hyperlink r:id="rId6">
        <w:r>
          <w:rPr>
            <w:rStyle w:val="Hyperlink"/>
            <w:rFonts w:ascii="Times New Roman" w:hAnsi="Times New Roman"/>
            <w:b w:val="false"/>
            <w:i w:val="false"/>
            <w:color w:val="000000"/>
            <w:sz w:val="22"/>
          </w:rPr>
          <w:t>441—Chapter 113</w:t>
        </w:r>
      </w:hyperlink>
      <w:r>
        <w:rPr>
          <w:rFonts w:ascii="Times New Roman" w:hAnsi="Times New Roman"/>
          <w:b w:val="false"/>
          <w:i w:val="false"/>
          <w:color w:val="000000"/>
          <w:sz w:val="22"/>
        </w:rPr>
        <w:t xml:space="preserve">, “Licensing and Regulation of Foster Family Homes,” </w:t>
      </w:r>
      <w:hyperlink r:id="rId7">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 xml:space="preserve">, “Licensing and Regulation of All Group Living Foster Care Facilities for Children,” </w:t>
      </w:r>
      <w:hyperlink r:id="rId8">
        <w:r>
          <w:rPr>
            <w:rStyle w:val="Hyperlink"/>
            <w:rFonts w:ascii="Times New Roman" w:hAnsi="Times New Roman"/>
            <w:b w:val="false"/>
            <w:i w:val="false"/>
            <w:color w:val="000000"/>
            <w:sz w:val="22"/>
          </w:rPr>
          <w:t>441—Chapter 115</w:t>
        </w:r>
      </w:hyperlink>
      <w:r>
        <w:rPr>
          <w:rFonts w:ascii="Times New Roman" w:hAnsi="Times New Roman"/>
          <w:b w:val="false"/>
          <w:i w:val="false"/>
          <w:color w:val="000000"/>
          <w:sz w:val="22"/>
        </w:rPr>
        <w:t xml:space="preserve">, “Licensing and Regulation of Comprehensive Residential Facilities for Children,” and </w:t>
      </w:r>
      <w:hyperlink r:id="rId9">
        <w:r>
          <w:rPr>
            <w:rStyle w:val="Hyperlink"/>
            <w:rFonts w:ascii="Times New Roman" w:hAnsi="Times New Roman"/>
            <w:b w:val="false"/>
            <w:i w:val="false"/>
            <w:color w:val="000000"/>
            <w:sz w:val="22"/>
          </w:rPr>
          <w:t>441—Chapter 116</w:t>
        </w:r>
      </w:hyperlink>
      <w:r>
        <w:rPr>
          <w:rFonts w:ascii="Times New Roman" w:hAnsi="Times New Roman"/>
          <w:b w:val="false"/>
          <w:i w:val="false"/>
          <w:color w:val="000000"/>
          <w:sz w:val="22"/>
        </w:rPr>
        <w:t>, “Licensing and Regulation of Residential Facilities for Children with an Intellectual Disability or Brain Injury.”</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when used for matters related to licensing, means the administrator of the division of adult, children and family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“Administrator’s designee:”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group facilities, the administrator’s designee is the chief of the bureau of child welfare and community services.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foster family homes, the designee is the department of human services’ service area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foster family home license, the applicant is the person or persons applying.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proprietary facility, the applicant is the owner or designee of the facility.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facilities having a board of directors, the applicant may be the president of the board or the board’s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residential facility” </w:t>
      </w:r>
      <w:r>
        <w:rPr>
          <w:rFonts w:ascii="Times New Roman" w:hAnsi="Times New Roman"/>
          <w:b w:val="false"/>
          <w:i w:val="false"/>
          <w:color w:val="000000"/>
          <w:sz w:val="22"/>
        </w:rPr>
        <w:t>means a facility which provides care for children who are considered unable to live in a family situation due to social, emotional or physical disabilities but are capable of interacting in a community environment with a minimum amount of supervision. The facility provides 24-hour care including board and room. Community resources are used for education, recreation, medical, social and rehabilitation services. The facility is responsible for planning the daily activities of the children, discipline, guidance, peer relationships, and recreational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“Comprehensive residential facility” </w:t>
      </w:r>
      <w:r>
        <w:rPr>
          <w:rFonts w:ascii="Times New Roman" w:hAnsi="Times New Roman"/>
          <w:b w:val="false"/>
          <w:i w:val="false"/>
          <w:color w:val="000000"/>
          <w:sz w:val="22"/>
        </w:rPr>
        <w:t>means a facility which provides care and treatment for children who are unable to live in a family situation due to social, emotional, or physical disabilities and who require varying degrees of supervision as indicated in the individual service plan. Care includes room and board. Services include the internal capacity for individual, family, and group treatment. These services and others provided to the child shall be under the administrative control of the facility. Community resources may be used for medical, recreational, and educational needs. Comprehensive residential facilities have higher staff to client ratios than community residential facilities and may use control rooms, locked cottages, and mechanical restraints when these controls meet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“Foster family home” </w:t>
      </w:r>
      <w:r>
        <w:rPr>
          <w:rFonts w:ascii="Times New Roman" w:hAnsi="Times New Roman"/>
          <w:b w:val="false"/>
          <w:i w:val="false"/>
          <w:color w:val="000000"/>
          <w:sz w:val="22"/>
        </w:rPr>
        <w:t>means a home in which an individual person or persons or a married couple who wishes to provide or is providing, for a period exceeding 24 consecutive hours, board, room, and care for a child in a single family living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facility” </w:t>
      </w:r>
      <w:r>
        <w:rPr>
          <w:rFonts w:ascii="Times New Roman" w:hAnsi="Times New Roman"/>
          <w:b w:val="false"/>
          <w:i w:val="false"/>
          <w:color w:val="000000"/>
          <w:sz w:val="22"/>
        </w:rPr>
        <w:t>means a community residential facility, a comprehensive residential facility, or a residential facility for children with an intellectual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facility for children with an intellectual disability or brain injury” </w:t>
      </w:r>
      <w:r>
        <w:rPr>
          <w:rFonts w:ascii="Times New Roman" w:hAnsi="Times New Roman"/>
          <w:b w:val="false"/>
          <w:i w:val="false"/>
          <w:color w:val="000000"/>
          <w:sz w:val="22"/>
        </w:rPr>
        <w:t xml:space="preserve">means any residential facility which serves children with an intellectual disability as defined in Iowa Code chapter </w:t>
      </w:r>
      <w:hyperlink r:id="rId11">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or children with brain injury as defined in Iowa Code chapter </w:t>
      </w:r>
      <w:hyperlink r:id="rId12">
        <w:r>
          <w:rPr>
            <w:rStyle w:val="Hyperlink"/>
            <w:rFonts w:ascii="Times New Roman" w:hAnsi="Times New Roman"/>
            <w:b w:val="false"/>
            <w:i w:val="false"/>
            <w:color w:val="000000"/>
            <w:sz w:val="22"/>
          </w:rPr>
          <w:t>225C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441—112.3</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112.3(1)</w:t>
      </w:r>
      <w:r>
        <w:rPr>
          <w:rFonts w:ascii="Times New Roman" w:hAnsi="Times New Roman"/>
          <w:b w:val="false"/>
          <w:i w:val="false"/>
          <w:color w:val="000000"/>
          <w:sz w:val="22"/>
        </w:rPr>
        <w:t> </w:t>
      </w:r>
      <w:r>
        <w:rPr>
          <w:rFonts w:ascii="Times New Roman" w:hAnsi="Times New Roman"/>
          <w:b w:val="false"/>
          <w:i/>
          <w:color w:val="000000"/>
          <w:sz w:val="22"/>
        </w:rPr>
        <w:t xml:space="preserve">Right to apply. </w:t>
      </w:r>
      <w:r>
        <w:rPr>
          <w:rFonts w:ascii="Times New Roman" w:hAnsi="Times New Roman"/>
          <w:b w:val="false"/>
          <w:i w:val="false"/>
          <w:color w:val="000000"/>
          <w:sz w:val="22"/>
        </w:rPr>
        <w:t>Any adult individual or agency has the right to apply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Foster family care. </w:t>
      </w:r>
      <w:r>
        <w:rPr>
          <w:rFonts w:ascii="Times New Roman" w:hAnsi="Times New Roman"/>
          <w:b w:val="false"/>
          <w:i w:val="false"/>
          <w:color w:val="000000"/>
          <w:sz w:val="22"/>
        </w:rPr>
        <w:t>A person wishing to apply to be a foster parent shall contact the department’s recruitment and retention contractor in the applicable service area to request an application packet. This procedure also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wishing to care for children placed through any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relative who is caring for a child directly placed by the child’s parents, guardians, or another relative and who wishes to be licensed as a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Group care. </w:t>
      </w:r>
      <w:r>
        <w:rPr>
          <w:rFonts w:ascii="Times New Roman" w:hAnsi="Times New Roman"/>
          <w:b w:val="false"/>
          <w:i w:val="false"/>
          <w:color w:val="000000"/>
          <w:sz w:val="22"/>
        </w:rPr>
        <w:t>A person wishing to apply for a group care license may contact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Using the “Contact Us” link found on the department’s Internet site at </w:t>
      </w:r>
      <w:hyperlink r:id="rId15">
        <w:r>
          <w:rPr>
            <w:rStyle w:val="Hyperlink"/>
            <w:rFonts w:ascii="Times New Roman" w:hAnsi="Times New Roman"/>
            <w:b w:val="false"/>
            <w:i w:val="false"/>
            <w:color w:val="000000"/>
            <w:sz w:val="22"/>
            <w:u w:val="single"/>
          </w:rPr>
          <w:t>dhs.iowa.gov</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By mail to the Iowa Department of Human Services, Division of Adult, Children and Family Services, Attn: Group Care Licensing, 1305 East Walnut Street,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112.3(2)</w:t>
      </w:r>
      <w:r>
        <w:rPr>
          <w:rFonts w:ascii="Times New Roman" w:hAnsi="Times New Roman"/>
          <w:b w:val="false"/>
          <w:i w:val="false"/>
          <w:color w:val="000000"/>
          <w:sz w:val="22"/>
        </w:rPr>
        <w:t> </w:t>
      </w:r>
      <w:r>
        <w:rPr>
          <w:rFonts w:ascii="Times New Roman" w:hAnsi="Times New Roman"/>
          <w:b w:val="false"/>
          <w:i/>
          <w:color w:val="000000"/>
          <w:sz w:val="22"/>
        </w:rPr>
        <w:t xml:space="preserve">Decision to operate a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an applicant has reached a decision to operate a foster family home, the applicant shall complete Form 470-0689, Foster Family Home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an applicant has reached a decision to operate a group facility, the applicant shall complete Form 470-0723, Application for License or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112.3(3)</w:t>
      </w:r>
      <w:r>
        <w:rPr>
          <w:rFonts w:ascii="Times New Roman" w:hAnsi="Times New Roman"/>
          <w:b w:val="false"/>
          <w:i w:val="false"/>
          <w:color w:val="000000"/>
          <w:sz w:val="22"/>
        </w:rPr>
        <w:t> </w:t>
      </w:r>
      <w:r>
        <w:rPr>
          <w:rFonts w:ascii="Times New Roman" w:hAnsi="Times New Roman"/>
          <w:b w:val="false"/>
          <w:i/>
          <w:color w:val="000000"/>
          <w:sz w:val="22"/>
        </w:rPr>
        <w:t xml:space="preserve">Withdrawal of an application. </w:t>
      </w:r>
      <w:r>
        <w:rPr>
          <w:rFonts w:ascii="Times New Roman" w:hAnsi="Times New Roman"/>
          <w:b w:val="false"/>
          <w:i w:val="false"/>
          <w:color w:val="000000"/>
          <w:sz w:val="22"/>
        </w:rPr>
        <w:t>The applicant shall report the withdrawal of an application promptly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112.3(4)</w:t>
      </w:r>
      <w:r>
        <w:rPr>
          <w:rFonts w:ascii="Times New Roman" w:hAnsi="Times New Roman"/>
          <w:b w:val="false"/>
          <w:i w:val="false"/>
          <w:color w:val="000000"/>
          <w:sz w:val="22"/>
        </w:rPr>
        <w:t> </w:t>
      </w:r>
      <w:r>
        <w:rPr>
          <w:rFonts w:ascii="Times New Roman" w:hAnsi="Times New Roman"/>
          <w:b w:val="false"/>
          <w:i/>
          <w:color w:val="000000"/>
          <w:sz w:val="22"/>
        </w:rPr>
        <w:t xml:space="preserve">Evaluation of the application. </w:t>
      </w:r>
      <w:r>
        <w:rPr>
          <w:rFonts w:ascii="Times New Roman" w:hAnsi="Times New Roman"/>
          <w:b w:val="false"/>
          <w:i w:val="false"/>
          <w:color w:val="000000"/>
          <w:sz w:val="22"/>
        </w:rPr>
        <w:t>Each application will be evaluated by the department to ensure that all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it results in adverse action, a founded abuse report on a director, a sole proprietor involved in the facility’s operation, or any facility staff or foster parent applicant shall be evaluated by the department to determine if the abuse merits prohibition of employment 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all founded child abuse on a case-by-case basis. Considerations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facility’s response (e.g., immediate termination of involved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abuse was an isolated incident or is symptomatic of a broader, systemic problem.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112.3(5)</w:t>
      </w:r>
      <w:r>
        <w:rPr>
          <w:rFonts w:ascii="Times New Roman" w:hAnsi="Times New Roman"/>
          <w:b w:val="false"/>
          <w:i w:val="false"/>
          <w:color w:val="000000"/>
          <w:sz w:val="22"/>
        </w:rPr>
        <w:t> </w:t>
      </w:r>
      <w:r>
        <w:rPr>
          <w:rFonts w:ascii="Times New Roman" w:hAnsi="Times New Roman"/>
          <w:b w:val="false"/>
          <w:i/>
          <w:color w:val="000000"/>
          <w:sz w:val="22"/>
        </w:rPr>
        <w:t xml:space="preserve">Reports and information. </w:t>
      </w:r>
      <w:r>
        <w:rPr>
          <w:rFonts w:ascii="Times New Roman" w:hAnsi="Times New Roman"/>
          <w:b w:val="false"/>
          <w:i w:val="false"/>
          <w:color w:val="000000"/>
          <w:sz w:val="22"/>
        </w:rPr>
        <w:t>Requested reports and information relevant to the licensing determination shall be furnished to the department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112.3(6)</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its agent shall send the licensee an application for renewal 90 days before the license expires. Applications for license renewal shall be made on the form specified in subrule </w:t>
      </w:r>
      <w:hyperlink r:id="rId16">
        <w:r>
          <w:rPr>
            <w:rStyle w:val="Hyperlink"/>
            <w:rFonts w:ascii="Times New Roman" w:hAnsi="Times New Roman"/>
            <w:b w:val="false"/>
            <w:i w:val="false"/>
            <w:color w:val="000000"/>
            <w:sz w:val="22"/>
          </w:rPr>
          <w:t>112.3(2)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renewal shall be made at least 30 but no more than 90 days before the license expires. Applications for renewal of a group care license shall be submitted to the address in subparagraph </w:t>
      </w:r>
      <w:hyperlink r:id="rId17">
        <w:r>
          <w:rPr>
            <w:rStyle w:val="Hyperlink"/>
            <w:rFonts w:ascii="Times New Roman" w:hAnsi="Times New Roman"/>
            <w:b w:val="false"/>
            <w:i w:val="false"/>
            <w:color w:val="000000"/>
            <w:sz w:val="22"/>
          </w:rPr>
          <w:t>112.3(1)</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Applications for renewal of a foster family home license shall be submitted to the recruitment and retention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approve or deny an application for license renewal through the same process as that used for the original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Foster family homes.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notify an applicant of the approval or denial of an initial license within 140 days of the date that the applicant begins the preservice training required in </w:t>
      </w:r>
      <w:hyperlink r:id="rId18">
        <w:r>
          <w:rPr>
            <w:rStyle w:val="Hyperlink"/>
            <w:rFonts w:ascii="Times New Roman" w:hAnsi="Times New Roman"/>
            <w:b w:val="false"/>
            <w:i w:val="false"/>
            <w:color w:val="000000"/>
            <w:sz w:val="22"/>
          </w:rPr>
          <w:t>441—subrule 113.8(1)</w:t>
        </w:r>
      </w:hyperlink>
      <w:r>
        <w:rPr>
          <w:rFonts w:ascii="Times New Roman" w:hAnsi="Times New Roman"/>
          <w:b w:val="false"/>
          <w:i w:val="false"/>
          <w:color w:val="000000"/>
          <w:sz w:val="22"/>
        </w:rPr>
        <w:t>. When preservice training is waived, the department shall notify the applicant of approval or denial within 120 days of the date that the training waiver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a licensee of the approval or denial of license renewal within 90 days of reapplication.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Group facilities. </w:t>
      </w:r>
      <w:r>
        <w:rPr>
          <w:rFonts w:ascii="Times New Roman" w:hAnsi="Times New Roman"/>
          <w:b w:val="false"/>
          <w:i w:val="false"/>
          <w:color w:val="000000"/>
          <w:sz w:val="22"/>
        </w:rPr>
        <w:t>The department shall notify a group facility of approval or denial of a license within 90 days of application or reapplication.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441—112.4</w:t>
      </w:r>
      <w:r>
        <w:rPr>
          <w:rFonts w:ascii="Times New Roman" w:hAnsi="Times New Roman"/>
          <w:b/>
          <w:i w:val="false"/>
          <w:color w:val="000000"/>
          <w:sz w:val="22"/>
        </w:rPr>
        <w:t xml:space="preserve">(237) </w:t>
      </w:r>
      <w:r>
        <w:rPr>
          <w:rFonts w:ascii="Times New Roman" w:hAnsi="Times New Roman"/>
          <w:b/>
          <w:i w:val="false"/>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112.4(1)</w:t>
      </w:r>
      <w:r>
        <w:rPr>
          <w:rFonts w:ascii="Times New Roman" w:hAnsi="Times New Roman"/>
          <w:b w:val="false"/>
          <w:i w:val="false"/>
          <w:color w:val="000000"/>
          <w:sz w:val="22"/>
        </w:rPr>
        <w:t> </w:t>
      </w:r>
      <w:r>
        <w:rPr>
          <w:rFonts w:ascii="Times New Roman" w:hAnsi="Times New Roman"/>
          <w:b w:val="false"/>
          <w:i w:val="false"/>
          <w:color w:val="000000"/>
          <w:sz w:val="22"/>
        </w:rPr>
        <w:t>A new license shall be obtained when the licensee moves or the facility is remodeled.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112.4(2)</w:t>
      </w:r>
      <w:r>
        <w:rPr>
          <w:rFonts w:ascii="Times New Roman" w:hAnsi="Times New Roman"/>
          <w:b w:val="false"/>
          <w:i w:val="false"/>
          <w:color w:val="000000"/>
          <w:sz w:val="22"/>
        </w:rPr>
        <w:t> </w:t>
      </w:r>
      <w:r>
        <w:rPr>
          <w:rFonts w:ascii="Times New Roman" w:hAnsi="Times New Roman"/>
          <w:b w:val="false"/>
          <w:i w:val="false"/>
          <w:color w:val="000000"/>
          <w:sz w:val="22"/>
        </w:rPr>
        <w:t>A new license shall be requested when the facility wishes to be licensed for a different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112.4(3)</w:t>
      </w:r>
      <w:r>
        <w:rPr>
          <w:rFonts w:ascii="Times New Roman" w:hAnsi="Times New Roman"/>
          <w:b w:val="false"/>
          <w:i w:val="false"/>
          <w:color w:val="000000"/>
          <w:sz w:val="22"/>
        </w:rPr>
        <w:t> </w:t>
      </w:r>
      <w:r>
        <w:rPr>
          <w:rFonts w:ascii="Times New Roman" w:hAnsi="Times New Roman"/>
          <w:b w:val="false"/>
          <w:i w:val="false"/>
          <w:color w:val="000000"/>
          <w:sz w:val="22"/>
        </w:rPr>
        <w:t>When corrective action is completed on or before the date specified on a provisional or renewal license, a full license shall be issued for the remainder of the licensure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112.4(4)</w:t>
      </w:r>
      <w:r>
        <w:rPr>
          <w:rFonts w:ascii="Times New Roman" w:hAnsi="Times New Roman"/>
          <w:b w:val="false"/>
          <w:i w:val="false"/>
          <w:color w:val="000000"/>
          <w:sz w:val="22"/>
        </w:rPr>
        <w:t> </w:t>
      </w:r>
      <w:r>
        <w:rPr>
          <w:rFonts w:ascii="Times New Roman" w:hAnsi="Times New Roman"/>
          <w:b w:val="false"/>
          <w:i w:val="false"/>
          <w:color w:val="000000"/>
          <w:sz w:val="22"/>
        </w:rPr>
        <w:t>When the corrective action is not completed by the date specified on a provisional or renewal license, a full license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112.4(5)</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Form 470-0727, Certificate of License, without cost to any foster family that meets the standards. The department shall issue Form 470-3623, Certificate of License, without cost to any group facility that meets the standards. The department may offer consultation to assist applicants in meeting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112.4(6)</w:t>
      </w:r>
      <w:r>
        <w:rPr>
          <w:rFonts w:ascii="Times New Roman" w:hAnsi="Times New Roman"/>
          <w:b w:val="false"/>
          <w:i w:val="false"/>
          <w:color w:val="000000"/>
          <w:sz w:val="22"/>
        </w:rPr>
        <w:t> </w:t>
      </w:r>
      <w:r>
        <w:rPr>
          <w:rFonts w:ascii="Times New Roman" w:hAnsi="Times New Roman"/>
          <w:b w:val="false"/>
          <w:i w:val="false"/>
          <w:color w:val="000000"/>
          <w:sz w:val="22"/>
        </w:rPr>
        <w:t>A foster family home license shall be approved for a term of one year for the first and second years of licensure. Thereafter, the license shall be approved for a term of two years unless it is determined by the administrator that a one-year license shall be issued. A group facility license shall be approved for a term of one to three years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one-year license may be approved for all new facilities that meet licensure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one- to two-year license may be approved when it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Some health or safety concerns have been identified;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Some complaints against a facility have been substantiated;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Deficiencies have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three-year license may be approved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health or safety deficiencies have been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have either been no substantiated complaints against the facility or, if substantiated, complaints have been determined not to be serious or severe;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facility has no founded incidents of child abuse by facility staff.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0356C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441—112.5</w:t>
      </w:r>
      <w:r>
        <w:rPr>
          <w:rFonts w:ascii="Times New Roman" w:hAnsi="Times New Roman"/>
          <w:b/>
          <w:i w:val="false"/>
          <w:color w:val="000000"/>
          <w:sz w:val="22"/>
        </w:rPr>
        <w:t xml:space="preserve">(237) </w:t>
      </w:r>
      <w:r>
        <w:rPr>
          <w:rFonts w:ascii="Times New Roman" w:hAnsi="Times New Roman"/>
          <w:b/>
          <w:i w:val="false"/>
          <w:color w:val="000000"/>
          <w:sz w:val="22"/>
        </w:rPr>
        <w:t xml:space="preserve">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112.5(1)</w:t>
      </w:r>
      <w:r>
        <w:rPr>
          <w:rFonts w:ascii="Times New Roman" w:hAnsi="Times New Roman"/>
          <w:b w:val="false"/>
          <w:i w:val="false"/>
          <w:color w:val="000000"/>
          <w:sz w:val="22"/>
        </w:rPr>
        <w:t> </w:t>
      </w:r>
      <w:r>
        <w:rPr>
          <w:rFonts w:ascii="Times New Roman" w:hAnsi="Times New Roman"/>
          <w:b w:val="false"/>
          <w:i w:val="false"/>
          <w:color w:val="000000"/>
          <w:sz w:val="22"/>
        </w:rPr>
        <w:t>The department shall deny the license application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standards set forth in these rules are not met and a provisional license is inappropriate or disapproved by the administrator or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as a sole proprietor or a foster family home parent, or any person residing in the foster family home other than a foster child, or any facility staff, has been convicted of a crime unless an evaluation of the crime has been made by the department which concludes that the crime does not merit prohibition of employment 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as a sole proprietor or foster family home parent, or any person residing in the foster family home other than a foster child, or any facility staff, has a record of founded child abuse unless an evaluation of the founded abuse has been made by the department which concludes that the abuse does not merit prohibition of employment 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application is fraudulent, which means that the applicant has knowingly made fraudulent statements or has knowingly concealed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112.5(2)</w:t>
      </w:r>
      <w:r>
        <w:rPr>
          <w:rFonts w:ascii="Times New Roman" w:hAnsi="Times New Roman"/>
          <w:b w:val="false"/>
          <w:i w:val="false"/>
          <w:color w:val="000000"/>
          <w:sz w:val="22"/>
        </w:rPr>
        <w:t> </w:t>
      </w:r>
      <w:r>
        <w:rPr>
          <w:rFonts w:ascii="Times New Roman" w:hAnsi="Times New Roman"/>
          <w:b w:val="false"/>
          <w:i w:val="false"/>
          <w:color w:val="000000"/>
          <w:sz w:val="22"/>
        </w:rPr>
        <w:t>Reapplications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same reasons as original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same reasons as listed in the grounds for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foster family applicant’s license has been denied or revoked within the 12 months before the date of reapplication. Denial for this reason does not require a licensing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foster family refuses to engage as a resource to a foster child’s birth parents when engagement can be done in a way that does not put the foster family or the foster child at risk of harm.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441—112.6</w:t>
      </w:r>
      <w:r>
        <w:rPr>
          <w:rFonts w:ascii="Times New Roman" w:hAnsi="Times New Roman"/>
          <w:b/>
          <w:i w:val="false"/>
          <w:color w:val="000000"/>
          <w:sz w:val="22"/>
        </w:rPr>
        <w:t xml:space="preserve">(237) </w:t>
      </w:r>
      <w:r>
        <w:rPr>
          <w:rFonts w:ascii="Times New Roman" w:hAnsi="Times New Roman"/>
          <w:b/>
          <w:i w:val="false"/>
          <w:color w:val="000000"/>
          <w:sz w:val="22"/>
        </w:rPr>
        <w:t xml:space="preserve">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112.6(1)</w:t>
      </w:r>
      <w:r>
        <w:rPr>
          <w:rFonts w:ascii="Times New Roman" w:hAnsi="Times New Roman"/>
          <w:b w:val="false"/>
          <w:i w:val="false"/>
          <w:color w:val="000000"/>
          <w:sz w:val="22"/>
        </w:rPr>
        <w:t> </w:t>
      </w:r>
      <w:r>
        <w:rPr>
          <w:rFonts w:ascii="Times New Roman" w:hAnsi="Times New Roman"/>
          <w:b w:val="false"/>
          <w:i/>
          <w:color w:val="000000"/>
          <w:sz w:val="22"/>
        </w:rPr>
        <w:t xml:space="preserve">Mandatory. </w:t>
      </w:r>
      <w:r>
        <w:rPr>
          <w:rFonts w:ascii="Times New Roman" w:hAnsi="Times New Roman"/>
          <w:b w:val="false"/>
          <w:i w:val="false"/>
          <w:color w:val="000000"/>
          <w:sz w:val="22"/>
        </w:rPr>
        <w:t xml:space="preserve">The department shall revoke the license for the following reasons unless subrule </w:t>
      </w:r>
      <w:hyperlink r:id="rId23">
        <w:r>
          <w:rPr>
            <w:rStyle w:val="Hyperlink"/>
            <w:rFonts w:ascii="Times New Roman" w:hAnsi="Times New Roman"/>
            <w:b w:val="false"/>
            <w:i w:val="false"/>
            <w:color w:val="000000"/>
            <w:sz w:val="22"/>
          </w:rPr>
          <w:t>112.6(3)</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facility is misusing funds furnished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facility is operating without due regard to the health, sanitation, hygiene, comfort, or well-being of the children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director or sole proprietor involved in the operation of the facility, or foster parent, or any person residing in the foster home other than a foster child, or any facility staff has been convicted of a crime unless an evaluation of the crime has been made by the department which concludes that the crime does not merit prohibition of employment 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there is a founded abuse report on a foster family home parent, any person residing in a foster family home other than a foster child, a director or sole proprietor who is involved in the facility’s operation, or any facility staff, unless an evaluation of the founded abuse has been made by the department which concludes that the abuse does not merit prohibition of employment 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Rescinded, effective November 1, 1987.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112.6(2)</w:t>
      </w:r>
      <w:r>
        <w:rPr>
          <w:rFonts w:ascii="Times New Roman" w:hAnsi="Times New Roman"/>
          <w:b w:val="false"/>
          <w:i w:val="false"/>
          <w:color w:val="000000"/>
          <w:sz w:val="22"/>
        </w:rPr>
        <w:t> </w:t>
      </w:r>
      <w:r>
        <w:rPr>
          <w:rFonts w:ascii="Times New Roman" w:hAnsi="Times New Roman"/>
          <w:b w:val="false"/>
          <w:i/>
          <w:color w:val="000000"/>
          <w:sz w:val="22"/>
        </w:rPr>
        <w:t xml:space="preserve">Optional. </w:t>
      </w:r>
      <w:r>
        <w:rPr>
          <w:rFonts w:ascii="Times New Roman" w:hAnsi="Times New Roman"/>
          <w:b w:val="false"/>
          <w:i w:val="false"/>
          <w:color w:val="000000"/>
          <w:sz w:val="22"/>
        </w:rPr>
        <w:t xml:space="preserve">Licenses may be revoked for any of the following reasons unless subrule </w:t>
      </w:r>
      <w:hyperlink r:id="rId24">
        <w:r>
          <w:rPr>
            <w:rStyle w:val="Hyperlink"/>
            <w:rFonts w:ascii="Times New Roman" w:hAnsi="Times New Roman"/>
            <w:b w:val="false"/>
            <w:i w:val="false"/>
            <w:color w:val="000000"/>
            <w:sz w:val="22"/>
          </w:rPr>
          <w:t>112.6(3)</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moving to a new home, the foster family fails to notify the department and the recruitment and retention contractor within seven working days of the move to a new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Rescinded, effective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foster family or facility fails to meet any or all requirements of the placement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Rescinded, effective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Rescinded, effective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foster care facility fails to continue to comply with all of the licensing requirements in both law and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foster family or the staff of a licensed group facility refuses to cooperate with an unannounced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The license for a foster family home shall not be revoked when there are 30 or fewer days until the date the license expires.</w:t>
      </w:r>
    </w:p>
    <w:p>
      <w:pPr>
        <w:spacing w:before="0" w:after="0"/>
        <w:ind w:left="120"/>
        <w:jc w:val="both"/>
      </w:pPr>
      <w:r>
        <w:rPr>
          <w:rFonts w:ascii="Times New Roman" w:hAnsi="Times New Roman"/>
          <w:b w:val="false"/>
          <w:i w:val="false"/>
          <w:color w:val="000000"/>
          <w:sz w:val="22"/>
        </w:rPr>
        <w:t xml:space="preserve">The foster family home shall be advised in writing that a reapplication may be denied and the reasons for the possible denial. The foster family home license may be suspended immediately pursuant to rule </w:t>
      </w:r>
      <w:hyperlink r:id="rId25">
        <w:r>
          <w:rPr>
            <w:rStyle w:val="Hyperlink"/>
            <w:rFonts w:ascii="Times New Roman" w:hAnsi="Times New Roman"/>
            <w:b w:val="false"/>
            <w:i w:val="false"/>
            <w:color w:val="000000"/>
            <w:sz w:val="22"/>
          </w:rPr>
          <w:t>441—112.9</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441—112.7</w:t>
      </w:r>
      <w:r>
        <w:rPr>
          <w:rFonts w:ascii="Times New Roman" w:hAnsi="Times New Roman"/>
          <w:b/>
          <w:i w:val="false"/>
          <w:color w:val="000000"/>
          <w:sz w:val="22"/>
        </w:rPr>
        <w:t xml:space="preserve">(237) </w:t>
      </w:r>
      <w:r>
        <w:rPr>
          <w:rFonts w:ascii="Times New Roman" w:hAnsi="Times New Roman"/>
          <w:b/>
          <w:i w:val="false"/>
          <w:color w:val="000000"/>
          <w:sz w:val="22"/>
        </w:rPr>
        <w:t xml:space="preserve">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112.7(1)</w:t>
      </w:r>
      <w:r>
        <w:rPr>
          <w:rFonts w:ascii="Times New Roman" w:hAnsi="Times New Roman"/>
          <w:b w:val="false"/>
          <w:i w:val="false"/>
          <w:color w:val="000000"/>
          <w:sz w:val="22"/>
        </w:rPr>
        <w:t> </w:t>
      </w:r>
      <w:r>
        <w:rPr>
          <w:rFonts w:ascii="Times New Roman" w:hAnsi="Times New Roman"/>
          <w:b w:val="false"/>
          <w:i/>
          <w:color w:val="000000"/>
          <w:sz w:val="22"/>
        </w:rPr>
        <w:t xml:space="preserve">Time frame for provisional licenses. </w:t>
      </w:r>
      <w:r>
        <w:rPr>
          <w:rFonts w:ascii="Times New Roman" w:hAnsi="Times New Roman"/>
          <w:b w:val="false"/>
          <w:i w:val="false"/>
          <w:color w:val="000000"/>
          <w:sz w:val="22"/>
        </w:rPr>
        <w:t>The administrator may issue a provisional license for not more than one year when a licensee’s facility does not meet the requirements of this chapter and the licensee submits a written corrective action plan that is approved by the administrator to bring the facility into compliance with the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112.7(2)</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The administrator or the administrator’s designee will provide a report identifying the reasons for the provisional license and the standards that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112.7(3)</w:t>
      </w:r>
      <w:r>
        <w:rPr>
          <w:rFonts w:ascii="Times New Roman" w:hAnsi="Times New Roman"/>
          <w:b w:val="false"/>
          <w:i w:val="false"/>
          <w:color w:val="000000"/>
          <w:sz w:val="22"/>
        </w:rPr>
        <w:t> </w:t>
      </w:r>
      <w:r>
        <w:rPr>
          <w:rFonts w:ascii="Times New Roman" w:hAnsi="Times New Roman"/>
          <w:b w:val="false"/>
          <w:i/>
          <w:color w:val="000000"/>
          <w:sz w:val="22"/>
        </w:rPr>
        <w:t xml:space="preserve">Corrective action plan. </w:t>
      </w:r>
      <w:r>
        <w:rPr>
          <w:rFonts w:ascii="Times New Roman" w:hAnsi="Times New Roman"/>
          <w:b w:val="false"/>
          <w:i w:val="false"/>
          <w:color w:val="000000"/>
          <w:sz w:val="22"/>
        </w:rPr>
        <w:t>The facility shall furnish the licensing agency with a plan of action to correct deficiencies listed that resulted in the provisional license. The plan shall give specific dates upon which the corrective action will be completed.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441—112.8</w:t>
      </w:r>
      <w:r>
        <w:rPr>
          <w:rFonts w:ascii="Times New Roman" w:hAnsi="Times New Roman"/>
          <w:b/>
          <w:i w:val="false"/>
          <w:color w:val="000000"/>
          <w:sz w:val="22"/>
        </w:rPr>
        <w:t xml:space="preserve">(237) </w:t>
      </w:r>
      <w:r>
        <w:rPr>
          <w:rFonts w:ascii="Times New Roman" w:hAnsi="Times New Roman"/>
          <w:b/>
          <w:i w:val="false"/>
          <w:color w:val="000000"/>
          <w:sz w:val="22"/>
        </w:rPr>
        <w:t xml:space="preserve">Adverse actions. </w:t>
      </w:r>
      <w:r>
        <w:rPr>
          <w:rFonts w:ascii="Times New Roman" w:hAnsi="Times New Roman"/>
          <w:b w:val="false"/>
          <w:i w:val="false"/>
          <w:color w:val="000000"/>
          <w:sz w:val="22"/>
        </w:rPr>
        <w:t xml:space="preserve">Notice of adverse actions and the right to appeal the licensing decision shall be given to applicants and licensees in accordance with </w:t>
      </w:r>
      <w:hyperlink r:id="rId29">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Any issues of placement or payment are independent of the licensing decision and right of appeal.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441—112.9</w:t>
      </w:r>
      <w:r>
        <w:rPr>
          <w:rFonts w:ascii="Times New Roman" w:hAnsi="Times New Roman"/>
          <w:b/>
          <w:i w:val="false"/>
          <w:color w:val="000000"/>
          <w:sz w:val="22"/>
        </w:rPr>
        <w:t xml:space="preserve">(237) </w:t>
      </w:r>
      <w:r>
        <w:rPr>
          <w:rFonts w:ascii="Times New Roman" w:hAnsi="Times New Roman"/>
          <w:b/>
          <w:i w:val="false"/>
          <w:color w:val="000000"/>
          <w:sz w:val="22"/>
        </w:rPr>
        <w:t xml:space="preserve">Suspension.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112.9(1)</w:t>
      </w:r>
      <w:r>
        <w:rPr>
          <w:rFonts w:ascii="Times New Roman" w:hAnsi="Times New Roman"/>
          <w:b w:val="false"/>
          <w:i w:val="false"/>
          <w:color w:val="000000"/>
          <w:sz w:val="22"/>
        </w:rPr>
        <w:t> </w:t>
      </w:r>
      <w:r>
        <w:rPr>
          <w:rFonts w:ascii="Times New Roman" w:hAnsi="Times New Roman"/>
          <w:b w:val="false"/>
          <w:i/>
          <w:color w:val="000000"/>
          <w:sz w:val="22"/>
        </w:rPr>
        <w:t xml:space="preserve">Types of suspension. </w:t>
      </w:r>
      <w:r>
        <w:rPr>
          <w:rFonts w:ascii="Times New Roman" w:hAnsi="Times New Roman"/>
          <w:b w:val="false"/>
          <w:i w:val="false"/>
          <w:color w:val="000000"/>
          <w:sz w:val="22"/>
        </w:rPr>
        <w:t>There are two types of suspension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Emergency suspensions are to prevent persons from providing foster care by suspending their license until it is revoked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Time-limited suspensions are to prevent persons from providing foster care by suspending their license until a deficiency in the home or facility is corrected.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112.9(2)</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emergency suspension. </w:t>
      </w:r>
      <w:r>
        <w:rPr>
          <w:rFonts w:ascii="Times New Roman" w:hAnsi="Times New Roman"/>
          <w:b w:val="false"/>
          <w:i w:val="false"/>
          <w:color w:val="000000"/>
          <w:sz w:val="22"/>
        </w:rPr>
        <w:t>The emergency suspension of a license by the administrator or administrator’s designee shall occur only when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fails to meet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are sufficient grounds for revocation on denial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safety, and welfare of any child placed in the home or facility requires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the condition requiring suspension is documented in the licensee’s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time-limited suspensions. </w:t>
      </w:r>
      <w:r>
        <w:rPr>
          <w:rFonts w:ascii="Times New Roman" w:hAnsi="Times New Roman"/>
          <w:b w:val="false"/>
          <w:i w:val="false"/>
          <w:color w:val="000000"/>
          <w:sz w:val="22"/>
        </w:rPr>
        <w:t>The time-limited suspension of a license by the administrator or administrator’s designee shall occur only when all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fails to meet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safety, and welfare of any child placed in the home or facility requires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existence of the condition requiring suspension is documented in the licensee’s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condition requiring the suspension can be corrected by the licensee to meet licensing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condition were corrected, a full license would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signs a written statement acknowledging the existence of the condition, citing the law or rule violated, and making a commitment to correct the condition within a specific time period, not to exceed the period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112.9(4)</w:t>
      </w:r>
      <w:r>
        <w:rPr>
          <w:rFonts w:ascii="Times New Roman" w:hAnsi="Times New Roman"/>
          <w:b w:val="false"/>
          <w:i w:val="false"/>
          <w:color w:val="000000"/>
          <w:sz w:val="22"/>
        </w:rPr>
        <w:t> </w:t>
      </w:r>
      <w:r>
        <w:rPr>
          <w:rFonts w:ascii="Times New Roman" w:hAnsi="Times New Roman"/>
          <w:b w:val="false"/>
          <w:i/>
          <w:color w:val="000000"/>
          <w:sz w:val="22"/>
        </w:rPr>
        <w:t xml:space="preserve">Effective period of suspensions. </w:t>
      </w:r>
      <w:r>
        <w:rPr>
          <w:rFonts w:ascii="Times New Roman" w:hAnsi="Times New Roman"/>
          <w:b w:val="false"/>
          <w:i w:val="false"/>
          <w:color w:val="000000"/>
          <w:sz w:val="22"/>
        </w:rPr>
        <w:t>A suspension shall be effective on the date the notice is received by the licensee and shall remain in effect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withdraws the suspension due to a change in conditions in the home or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orders the license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 is reversed by a final decision in accordance with </w:t>
      </w:r>
      <w:hyperlink r:id="rId31">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emergency suspensions, a revocation or denial becomes effective and the license is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licensing period expires.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time-limited suspensions, the period of suspension ends.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112.9(5)</w:t>
      </w:r>
      <w:r>
        <w:rPr>
          <w:rFonts w:ascii="Times New Roman" w:hAnsi="Times New Roman"/>
          <w:b w:val="false"/>
          <w:i w:val="false"/>
          <w:color w:val="000000"/>
          <w:sz w:val="22"/>
        </w:rPr>
        <w:t> </w:t>
      </w:r>
      <w:r>
        <w:rPr>
          <w:rFonts w:ascii="Times New Roman" w:hAnsi="Times New Roman"/>
          <w:b w:val="false"/>
          <w:i/>
          <w:color w:val="000000"/>
          <w:sz w:val="22"/>
        </w:rPr>
        <w:t xml:space="preserve">Method and content of notice. </w:t>
      </w:r>
      <w:r>
        <w:rPr>
          <w:rFonts w:ascii="Times New Roman" w:hAnsi="Times New Roman"/>
          <w:b w:val="false"/>
          <w:i w:val="false"/>
          <w:color w:val="000000"/>
          <w:sz w:val="22"/>
        </w:rPr>
        <w:t>The notice of suspension shall be sent by restricted certified mail or personal service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 requiring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law or rule violated.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type of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emergency suspension, the adverse action being sought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a time-limited suspension, the duration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112.9(6)</w:t>
      </w:r>
      <w:r>
        <w:rPr>
          <w:rFonts w:ascii="Times New Roman" w:hAnsi="Times New Roman"/>
          <w:b w:val="false"/>
          <w:i w:val="false"/>
          <w:color w:val="000000"/>
          <w:sz w:val="22"/>
        </w:rPr>
        <w:t> </w:t>
      </w:r>
      <w:r>
        <w:rPr>
          <w:rFonts w:ascii="Times New Roman" w:hAnsi="Times New Roman"/>
          <w:b w:val="false"/>
          <w:i/>
          <w:color w:val="000000"/>
          <w:sz w:val="22"/>
        </w:rPr>
        <w:t xml:space="preserve">Right to appeal suspension. </w:t>
      </w:r>
      <w:r>
        <w:rPr>
          <w:rFonts w:ascii="Times New Roman" w:hAnsi="Times New Roman"/>
          <w:b w:val="false"/>
          <w:i w:val="false"/>
          <w:color w:val="000000"/>
          <w:sz w:val="22"/>
        </w:rPr>
        <w:t>The licensee has the right to appeal the suspension of the license, but initiation of an appeal does not alter the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237.5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441—112.10</w:t>
      </w:r>
      <w:r>
        <w:rPr>
          <w:rFonts w:ascii="Times New Roman" w:hAnsi="Times New Roman"/>
          <w:b/>
          <w:i w:val="false"/>
          <w:color w:val="000000"/>
          <w:sz w:val="22"/>
        </w:rPr>
        <w:t xml:space="preserve">(232) </w:t>
      </w:r>
      <w:r>
        <w:rPr>
          <w:rFonts w:ascii="Times New Roman" w:hAnsi="Times New Roman"/>
          <w:b/>
          <w:i w:val="false"/>
          <w:color w:val="000000"/>
          <w:sz w:val="22"/>
        </w:rPr>
        <w:t xml:space="preserve">Mandatory reporting of child abuse and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112.10(1)</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 xml:space="preserve">All defined in Iowa Code section </w:t>
      </w:r>
      <w:hyperlink r:id="rId3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who, in the scope of professional practice or in their employment responsibilities, examine, attend, counsel, or treat a child and reasonably believe a child has suffered abuse shall make a report in accordance with Iowa Code section </w:t>
      </w:r>
      <w:hyperlink r:id="rId3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whenever the provider reasonably believes a child for whom the provider is providing foster care has suffered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112.10(2)</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r>
        <w:rPr>
          <w:rFonts w:ascii="Times New Roman" w:hAnsi="Times New Roman"/>
          <w:b w:val="false"/>
          <w:i w:val="false"/>
          <w:color w:val="000000"/>
          <w:sz w:val="22"/>
        </w:rPr>
        <w:t xml:space="preserve">Mandatory reporters shall receive training relating to the identification and reporting of child abuse as required by Iowa Code section </w:t>
      </w:r>
      <w:hyperlink r:id="rId36">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112.10(3)</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Each licensee shall develop and maintain a written record for each mandatory reporter in order to document the content and amount of training.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441—112.11</w:t>
      </w:r>
      <w:r>
        <w:rPr>
          <w:rFonts w:ascii="Times New Roman" w:hAnsi="Times New Roman"/>
          <w:b/>
          <w:i w:val="false"/>
          <w:color w:val="000000"/>
          <w:sz w:val="22"/>
        </w:rPr>
        <w:t xml:space="preserve">(237) </w:t>
      </w:r>
      <w:r>
        <w:rPr>
          <w:rFonts w:ascii="Times New Roman" w:hAnsi="Times New Roman"/>
          <w:b/>
          <w:i w:val="false"/>
          <w:color w:val="000000"/>
          <w:sz w:val="22"/>
        </w:rPr>
        <w:t xml:space="preserve">Required training on the reasonable and prudent parent standard. </w:t>
      </w:r>
      <w:r>
        <w:rPr>
          <w:rFonts w:ascii="Times New Roman" w:hAnsi="Times New Roman"/>
          <w:b w:val="false"/>
          <w:i w:val="false"/>
          <w:color w:val="000000"/>
          <w:sz w:val="22"/>
        </w:rPr>
        <w:t xml:space="preserve">Each group facility shall have an on-site official authorized to apply the reasonable and prudent parent standard as defined in rule </w:t>
      </w:r>
      <w:hyperlink r:id="rId38">
        <w:r>
          <w:rPr>
            <w:rStyle w:val="Hyperlink"/>
            <w:rFonts w:ascii="Times New Roman" w:hAnsi="Times New Roman"/>
            <w:b w:val="false"/>
            <w:i w:val="false"/>
            <w:color w:val="000000"/>
            <w:sz w:val="22"/>
          </w:rPr>
          <w:t>441—202.1</w:t>
        </w:r>
      </w:hyperlink>
      <w:r>
        <w:rPr>
          <w:rFonts w:ascii="Times New Roman" w:hAnsi="Times New Roman"/>
          <w:b w:val="false"/>
          <w:i w:val="false"/>
          <w:color w:val="000000"/>
          <w:sz w:val="22"/>
        </w:rPr>
        <w:t xml:space="preserve">(234). Within one year of being identified as an authorized on-site official, each authorized official shall complete the same department-approved training on the reasonable and prudent parent standard in the same manner as required for prospective foster parents and referenced in </w:t>
      </w:r>
      <w:hyperlink r:id="rId39">
        <w:r>
          <w:rPr>
            <w:rStyle w:val="Hyperlink"/>
            <w:rFonts w:ascii="Times New Roman" w:hAnsi="Times New Roman"/>
            <w:b w:val="false"/>
            <w:i w:val="false"/>
            <w:color w:val="000000"/>
            <w:sz w:val="22"/>
          </w:rPr>
          <w:t>441—subrule 117.1(4)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441—112.12</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 checks. </w:t>
      </w:r>
      <w:r>
        <w:rPr>
          <w:rFonts w:ascii="Times New Roman" w:hAnsi="Times New Roman"/>
          <w:b w:val="false"/>
          <w:i w:val="false"/>
          <w:color w:val="000000"/>
          <w:sz w:val="22"/>
        </w:rPr>
        <w:t xml:space="preserve">Record checks as defined in 441—Chapter 114 are required for any entity being considered for licensure or employment by a licensee on a facility campus where children reside to determine whether any applicant has any founded child abuse reports or criminal convictions or has been placed on a sex offender registry.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237.8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4/23/81, Notice 1/7/81—published 5/13/81, effective 7/1/81]</w:t>
      </w:r>
    </w:p>
    <w:p>
      <w:pPr>
        <w:spacing w:before="0" w:after="0"/>
        <w:ind w:left="120"/>
        <w:jc w:val="center"/>
      </w:pPr>
      <w:r>
        <w:rPr>
          <w:rFonts w:ascii="Times New Roman" w:hAnsi="Times New Roman"/>
          <w:b w:val="false"/>
          <w:i w:val="false"/>
          <w:color w:val="000000"/>
          <w:sz w:val="21"/>
        </w:rPr>
        <w:t>[Filed 11/20/81, Notice 9/30/81—published 12/9/81, effective 2/1/82]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10/1/85, Notice 7/31/85—published 10/23/85, effective 12/1/85]</w:t>
      </w:r>
    </w:p>
    <w:p>
      <w:pPr>
        <w:spacing w:before="0" w:after="0"/>
        <w:ind w:left="120"/>
        <w:jc w:val="center"/>
      </w:pPr>
      <w:r>
        <w:rPr>
          <w:rFonts w:ascii="Times New Roman" w:hAnsi="Times New Roman"/>
          <w:b w:val="false"/>
          <w:i w:val="false"/>
          <w:color w:val="000000"/>
          <w:sz w:val="21"/>
        </w:rPr>
        <w:t>[Filed 12/12/85, Notice 10/23/85—published 1/1/86, effective 3/1/86]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4/9/04, Notice 3/3/04—published 4/28/04, effective 7/1/04]</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ARC 0356C</w:t>
      </w:r>
      <w:r>
        <w:rPr>
          <w:rFonts w:ascii="Times New Roman" w:hAnsi="Times New Roman"/>
          <w:b w:val="false"/>
          <w:i w:val="false"/>
          <w:color w:val="000000"/>
          <w:sz w:val="21"/>
        </w:rPr>
        <w:t xml:space="preserve"> (Notice ARC 0202C,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2069C</w:t>
      </w:r>
      <w:r>
        <w:rPr>
          <w:rFonts w:ascii="Times New Roman" w:hAnsi="Times New Roman"/>
          <w:b w:val="false"/>
          <w:i w:val="false"/>
          <w:color w:val="000000"/>
          <w:sz w:val="21"/>
        </w:rPr>
        <w:t xml:space="preserve"> (Notice ARC 1997C, IAB 5/27/15)</w:t>
      </w:r>
      <w:r>
        <w:rPr>
          <w:rFonts w:ascii="Times New Roman" w:hAnsi="Times New Roman"/>
          <w:b w:val="false"/>
          <w:i w:val="false"/>
          <w:color w:val="000000"/>
          <w:sz w:val="21"/>
        </w:rPr>
        <w:t>, IAB 8/5/15, effective 10/1/15]</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pdf" Type="http://schemas.openxmlformats.org/officeDocument/2006/relationships/hyperlink" Id="rId5"/>
    <Relationship TargetMode="External" Target="https://www.legis.iowa.gov/docs/iac/chapter/441.113.pdf" Type="http://schemas.openxmlformats.org/officeDocument/2006/relationships/hyperlink" Id="rId6"/>
    <Relationship TargetMode="External" Target="https://www.legis.iowa.gov/docs/iac/chapter/441.114.pdf" Type="http://schemas.openxmlformats.org/officeDocument/2006/relationships/hyperlink" Id="rId7"/>
    <Relationship TargetMode="External" Target="https://www.legis.iowa.gov/docs/iac/chapter/441.115.pdf" Type="http://schemas.openxmlformats.org/officeDocument/2006/relationships/hyperlink" Id="rId8"/>
    <Relationship TargetMode="External" Target="https://www.legis.iowa.gov/docs/iac/chapter/441.116.pdf" Type="http://schemas.openxmlformats.org/officeDocument/2006/relationships/hyperlink" Id="rId9"/>
    <Relationship TargetMode="External" Target="https://www.legis.iowa.gov/docs/ico/chapter/237.pdf" Type="http://schemas.openxmlformats.org/officeDocument/2006/relationships/hyperlink" Id="rId10"/>
    <Relationship TargetMode="External" Target="https://www.legis.iowa.gov/docs/ico/chapter/222.pdf" Type="http://schemas.openxmlformats.org/officeDocument/2006/relationships/hyperlink" Id="rId11"/>
    <Relationship TargetMode="External" Target="https://www.legis.iowa.gov/docs/ico/chapter/225C.pdf" Type="http://schemas.openxmlformats.org/officeDocument/2006/relationships/hyperlink" Id="rId12"/>
    <Relationship TargetMode="External" Target="https://www.legis.iowa.gov/docs/ico/chapter/237.3.pdf" Type="http://schemas.openxmlformats.org/officeDocument/2006/relationships/hyperlink" Id="rId13"/>
    <Relationship TargetMode="External" Target="https://www.legis.iowa.gov/docs/ico/chapter/237.5.pdf" Type="http://schemas.openxmlformats.org/officeDocument/2006/relationships/hyperlink" Id="rId14"/>
    <Relationship TargetMode="External" Target="http://dhs.iowa.gov" Type="http://schemas.openxmlformats.org/officeDocument/2006/relationships/hyperlink" Id="rId15"/>
    <Relationship TargetMode="External" Target="https://www.legis.iowa.gov/docs/iac/rule/441.112.3.pdf" Type="http://schemas.openxmlformats.org/officeDocument/2006/relationships/hyperlink" Id="rId16"/>
    <Relationship TargetMode="External" Target="https://www.legis.iowa.gov/docs/iac/rule/441.112.3.pdf" Type="http://schemas.openxmlformats.org/officeDocument/2006/relationships/hyperlink" Id="rId17"/>
    <Relationship TargetMode="External" Target="https://www.legis.iowa.gov/docs/iac/rule/441.113.8.pdf" Type="http://schemas.openxmlformats.org/officeDocument/2006/relationships/hyperlink" Id="rId18"/>
    <Relationship TargetMode="External" Target="https://www.legis.iowa.gov/docs/ico/chapter/237.5.pdf" Type="http://schemas.openxmlformats.org/officeDocument/2006/relationships/hyperlink" Id="rId19"/>
    <Relationship TargetMode="External" Target="https://www.legis.iowa.gov/docs/ico/chapter/237.3.pdf" Type="http://schemas.openxmlformats.org/officeDocument/2006/relationships/hyperlink" Id="rId20"/>
    <Relationship TargetMode="External" Target="https://www.legis.iowa.gov/docs/ico/chapter/237.5.pdf" Type="http://schemas.openxmlformats.org/officeDocument/2006/relationships/hyperlink" Id="rId21"/>
    <Relationship TargetMode="External" Target="https://www.legis.iowa.gov/docs/ico/chapter/237.5.pdf" Type="http://schemas.openxmlformats.org/officeDocument/2006/relationships/hyperlink" Id="rId22"/>
    <Relationship TargetMode="External" Target="https://www.legis.iowa.gov/docs/iac/rule/441.112.6.pdf" Type="http://schemas.openxmlformats.org/officeDocument/2006/relationships/hyperlink" Id="rId23"/>
    <Relationship TargetMode="External" Target="https://www.legis.iowa.gov/docs/iac/rule/441.112.6.pdf" Type="http://schemas.openxmlformats.org/officeDocument/2006/relationships/hyperlink" Id="rId24"/>
    <Relationship TargetMode="External" Target="https://www.legis.iowa.gov/docs/iac/rule/441.112.9.pdf" Type="http://schemas.openxmlformats.org/officeDocument/2006/relationships/hyperlink" Id="rId25"/>
    <Relationship TargetMode="External" Target="https://www.legis.iowa.gov/docs/ico/chapter/237.3.pdf" Type="http://schemas.openxmlformats.org/officeDocument/2006/relationships/hyperlink" Id="rId26"/>
    <Relationship TargetMode="External" Target="https://www.legis.iowa.gov/docs/ico/chapter/237.5.pdf" Type="http://schemas.openxmlformats.org/officeDocument/2006/relationships/hyperlink" Id="rId27"/>
    <Relationship TargetMode="External" Target="https://www.legis.iowa.gov/docs/ico/chapter/237.5.pdf" Type="http://schemas.openxmlformats.org/officeDocument/2006/relationships/hyperlink" Id="rId28"/>
    <Relationship TargetMode="External" Target="https://www.legis.iowa.gov/docs/iac/chapter/441.7.pdf" Type="http://schemas.openxmlformats.org/officeDocument/2006/relationships/hyperlink" Id="rId29"/>
    <Relationship TargetMode="External" Target="https://www.legis.iowa.gov/docs/ico/chapter/237.5.pdf" Type="http://schemas.openxmlformats.org/officeDocument/2006/relationships/hyperlink" Id="rId30"/>
    <Relationship TargetMode="External" Target="https://www.legis.iowa.gov/docs/iac/chapter/441.7.pdf" Type="http://schemas.openxmlformats.org/officeDocument/2006/relationships/hyperlink" Id="rId31"/>
    <Relationship TargetMode="External" Target="https://www.legis.iowa.gov/docs/ico/chapter/237.3.pdf" Type="http://schemas.openxmlformats.org/officeDocument/2006/relationships/hyperlink" Id="rId32"/>
    <Relationship TargetMode="External" Target="https://www.legis.iowa.gov/docs/ico/chapter/237.5.pdf" Type="http://schemas.openxmlformats.org/officeDocument/2006/relationships/hyperlink" Id="rId33"/>
    <Relationship TargetMode="External" Target="https://www.legis.iowa.gov/docs/ico/chapter/232.69.pdf" Type="http://schemas.openxmlformats.org/officeDocument/2006/relationships/hyperlink" Id="rId34"/>
    <Relationship TargetMode="External" Target="https://www.legis.iowa.gov/docs/ico/chapter/232.69.pdf" Type="http://schemas.openxmlformats.org/officeDocument/2006/relationships/hyperlink" Id="rId35"/>
    <Relationship TargetMode="External" Target="https://www.legis.iowa.gov/docs/ico/chapter/232.69.pdf" Type="http://schemas.openxmlformats.org/officeDocument/2006/relationships/hyperlink" Id="rId36"/>
    <Relationship TargetMode="External" Target="https://www.legis.iowa.gov/docs/ico/chapter/232.69.pdf" Type="http://schemas.openxmlformats.org/officeDocument/2006/relationships/hyperlink" Id="rId37"/>
    <Relationship TargetMode="External" Target="https://www.legis.iowa.gov/docs/iac/rule/441.202.1.pdf" Type="http://schemas.openxmlformats.org/officeDocument/2006/relationships/hyperlink" Id="rId38"/>
    <Relationship TargetMode="External" Target="https://www.legis.iowa.gov/docs/iac/rule/441.117.8.pdf" Type="http://schemas.openxmlformats.org/officeDocument/2006/relationships/hyperlink" Id="rId39"/>
    <Relationship TargetMode="External" Target="https://www.legis.iowa.gov/docs/ico/chapter/237.8.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