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GENERAL DEPARTMENTAL PROCEDURES</w:t>
      </w:r>
    </w:p>
    <w:p>
      <w:pPr>
        <w:spacing w:before="0" w:after="0"/>
        <w:ind w:left="120"/>
        <w:jc w:val="center"/>
      </w:pPr>
      <w:r>
        <w:rPr>
          <w:rFonts w:ascii="Times New Roman" w:hAnsi="Times New Roman"/>
          <w:b w:val="false"/>
          <w:i w:val="false"/>
          <w:color w:val="000000"/>
          <w:sz w:val="16"/>
        </w:rPr>
        <w:t>TITLE I</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DEPARTMENT ORGANIZATION AND GENERAL DEFINITIONS</w:t>
      </w:r>
    </w:p>
    <w:p>
      <w:pPr>
        <w:spacing w:before="0" w:after="0"/>
        <w:ind w:left="120"/>
        <w:jc w:val="center"/>
      </w:pPr>
      <w:r>
        <w:rPr>
          <w:rFonts w:ascii="Times New Roman" w:hAnsi="Times New Roman"/>
          <w:b w:val="false"/>
          <w:i w:val="false"/>
          <w:color w:val="000000"/>
          <w:sz w:val="20"/>
        </w:rPr>
        <w:t>[Prior to 7/1/83, Social Services [770] Ch 1]</w:t>
      </w:r>
    </w:p>
    <w:p>
      <w:pPr>
        <w:spacing w:before="0" w:after="0"/>
        <w:ind w:left="120"/>
        <w:jc w:val="center"/>
      </w:pPr>
      <w:r>
        <w:rPr>
          <w:rFonts w:ascii="Times New Roman" w:hAnsi="Times New Roman"/>
          <w:b w:val="false"/>
          <w:i w:val="false"/>
          <w:color w:val="000000"/>
          <w:sz w:val="20"/>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441—1.1</w:t>
      </w:r>
      <w:r>
        <w:rPr>
          <w:rFonts w:ascii="Times New Roman" w:hAnsi="Times New Roman"/>
          <w:b/>
          <w:i w:val="false"/>
          <w:color w:val="000000"/>
          <w:sz w:val="22"/>
        </w:rPr>
        <w:t xml:space="preserve">(217) </w:t>
      </w:r>
      <w:r>
        <w:rPr>
          <w:rFonts w:ascii="Times New Roman" w:hAnsi="Times New Roman"/>
          <w:b/>
          <w:i w:val="false"/>
          <w:color w:val="000000"/>
          <w:sz w:val="22"/>
        </w:rPr>
        <w:t xml:space="preserve">History and mission. </w:t>
      </w:r>
      <w:r>
        <w:rPr>
          <w:rFonts w:ascii="Times New Roman" w:hAnsi="Times New Roman"/>
          <w:b w:val="false"/>
          <w:i w:val="false"/>
          <w:color w:val="000000"/>
          <w:sz w:val="22"/>
        </w:rPr>
        <w:t xml:space="preserve">The Iowa department of health and human services was established in 2022 pursuant to </w:t>
      </w:r>
      <w:r>
        <w:rPr>
          <w:rFonts w:ascii="Times New Roman" w:hAnsi="Times New Roman"/>
          <w:b w:val="false"/>
          <w:i w:val="false"/>
          <w:color w:val="000000"/>
          <w:sz w:val="22"/>
        </w:rPr>
        <w:t>2022 Iowa Acts, House File 2578</w:t>
      </w:r>
      <w:r>
        <w:rPr>
          <w:rFonts w:ascii="Times New Roman" w:hAnsi="Times New Roman"/>
          <w:b w:val="false"/>
          <w:i w:val="false"/>
          <w:color w:val="000000"/>
          <w:sz w:val="22"/>
        </w:rPr>
        <w:t xml:space="preserve">, and fully codified pursuant to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The authority delegated to the department had previously been delegated to the departments of human services, public health, aging, and human rights; the Iowa commission on volunteer service; the child advocacy board and the department of inspections and appeals. In 2023, the general assembly combined these agencies and programs to create the department of health and human services. The department’s mission is published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center"/>
      </w:pPr>
    </w:p>
    <w:p>
      <w:pPr>
        <w:spacing w:before="0" w:after="0"/>
        <w:ind w:left="120"/>
        <w:jc w:val="both"/>
      </w:pPr>
      <w:r>
        <w:rPr>
          <w:rFonts w:ascii="Times New Roman" w:hAnsi="Times New Roman"/>
          <w:b/>
          <w:i w:val="false"/>
          <w:color w:val="000000"/>
          <w:sz w:val="22"/>
        </w:rPr>
        <w:t>441—1.2</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 department’s rules, unless otherwise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“Council”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health and human services council.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signature”</w:t>
      </w:r>
      <w:r>
        <w:rPr>
          <w:rFonts w:ascii="Times New Roman" w:hAnsi="Times New Roman"/>
          <w:b w:val="false"/>
          <w:i w:val="false"/>
          <w:color w:val="000000"/>
          <w:sz w:val="22"/>
        </w:rPr>
        <w:t> </w:t>
      </w:r>
      <w:r>
        <w:rPr>
          <w:rFonts w:ascii="Times New Roman" w:hAnsi="Times New Roman"/>
          <w:b w:val="false"/>
          <w:i w:val="false"/>
          <w:color w:val="000000"/>
          <w:sz w:val="22"/>
        </w:rPr>
        <w:t>means a confidential personalized digital key, code, or number that is used for secure electronic data transmission and that identifies and authenticates the signatory.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w:t>
      </w:r>
      <w:r>
        <w:rPr>
          <w:rFonts w:ascii="Times New Roman" w:hAnsi="Times New Roman"/>
          <w:b/>
          <w:i w:val="false"/>
          <w:color w:val="000000"/>
          <w:sz w:val="22"/>
        </w:rPr>
        <w:t xml:space="preserve">(217) </w:t>
      </w:r>
      <w:r>
        <w:rPr>
          <w:rFonts w:ascii="Times New Roman" w:hAnsi="Times New Roman"/>
          <w:b/>
          <w:i w:val="false"/>
          <w:color w:val="000000"/>
          <w:sz w:val="22"/>
        </w:rPr>
        <w:t xml:space="preserve">Department 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department’s organizational structure consists of the council, the director and such divisions as the director may from time to time create.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The department director is appointed pursuant to the requirements in Iowa Code section </w:t>
      </w:r>
      <w:hyperlink r:id="rId5">
        <w:r>
          <w:rPr>
            <w:rStyle w:val="Hyperlink"/>
            <w:rFonts w:ascii="Times New Roman" w:hAnsi="Times New Roman"/>
            <w:b w:val="false"/>
            <w:i w:val="false"/>
            <w:color w:val="000000"/>
            <w:sz w:val="22"/>
          </w:rPr>
          <w:t>217.5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Delegation of director authority. </w:t>
      </w:r>
      <w:r>
        <w:rPr>
          <w:rFonts w:ascii="Times New Roman" w:hAnsi="Times New Roman"/>
          <w:b w:val="false"/>
          <w:i w:val="false"/>
          <w:color w:val="000000"/>
          <w:sz w:val="22"/>
        </w:rPr>
        <w:t>The director may designate employee(s) to administer the department in the director’s absence. The director may also delegate the director’s authority to administer the department to other employees as determined necessary for efficient and effective department operations. Delegations of the director’s authority will be documented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The director may from time to time reorganize the department into administrative divisions to most efficiently and effectively carry out the department’s responsibilities. Reorganization may include creating new divisions, eliminating existing divisions, or combining divisions as the director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w:t>
      </w:r>
      <w:r>
        <w:rPr>
          <w:rFonts w:ascii="Times New Roman" w:hAnsi="Times New Roman"/>
          <w:b/>
          <w:i w:val="false"/>
          <w:color w:val="000000"/>
          <w:sz w:val="22"/>
        </w:rPr>
        <w:t xml:space="preserve">(217) </w:t>
      </w:r>
      <w:r>
        <w:rPr>
          <w:rFonts w:ascii="Times New Roman" w:hAnsi="Times New Roman"/>
          <w:b/>
          <w:i w:val="false"/>
          <w:color w:val="000000"/>
          <w:sz w:val="22"/>
        </w:rPr>
        <w:t xml:space="preserve">Information. </w:t>
      </w:r>
      <w:r>
        <w:rPr>
          <w:rFonts w:ascii="Times New Roman" w:hAnsi="Times New Roman"/>
          <w:b w:val="false"/>
          <w:i w:val="false"/>
          <w:color w:val="000000"/>
          <w:sz w:val="22"/>
        </w:rPr>
        <w:t>The general public may obtain information about the department by contacting the department at its offices located at 321 E. 12th Street, Des Moines, Iowa 50319, telephone 515.281.5452, or through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w:t>
      </w:r>
      <w:r>
        <w:rPr>
          <w:rFonts w:ascii="Times New Roman" w:hAnsi="Times New Roman"/>
          <w:b/>
          <w:i w:val="false"/>
          <w:color w:val="000000"/>
          <w:sz w:val="22"/>
        </w:rPr>
        <w:t xml:space="preserve">(217) </w:t>
      </w:r>
      <w:r>
        <w:rPr>
          <w:rFonts w:ascii="Times New Roman" w:hAnsi="Times New Roman"/>
          <w:b/>
          <w:i w:val="false"/>
          <w:color w:val="000000"/>
          <w:sz w:val="22"/>
        </w:rPr>
        <w:t xml:space="preserve">Health and human services council. </w:t>
      </w:r>
      <w:r>
        <w:rPr>
          <w:rFonts w:ascii="Times New Roman" w:hAnsi="Times New Roman"/>
          <w:b w:val="false"/>
          <w:i w:val="false"/>
          <w:color w:val="000000"/>
          <w:sz w:val="22"/>
        </w:rPr>
        <w:t xml:space="preserve">The council is established in Iowa Code section </w:t>
      </w:r>
      <w:hyperlink r:id="rId6">
        <w:r>
          <w:rPr>
            <w:rStyle w:val="Hyperlink"/>
            <w:rFonts w:ascii="Times New Roman" w:hAnsi="Times New Roman"/>
            <w:b w:val="false"/>
            <w:i w:val="false"/>
            <w:color w:val="000000"/>
            <w:sz w:val="22"/>
          </w:rPr>
          <w:t>217.2</w:t>
        </w:r>
      </w:hyperlink>
      <w:r>
        <w:rPr>
          <w:rFonts w:ascii="Times New Roman" w:hAnsi="Times New Roman"/>
          <w:b w:val="false"/>
          <w:i w:val="false"/>
          <w:color w:val="000000"/>
          <w:sz w:val="22"/>
        </w:rPr>
        <w:t xml:space="preserve"> and its duties are in Iowa Code section </w:t>
      </w:r>
      <w:hyperlink r:id="rId7">
        <w:r>
          <w:rPr>
            <w:rStyle w:val="Hyperlink"/>
            <w:rFonts w:ascii="Times New Roman" w:hAnsi="Times New Roman"/>
            <w:b w:val="false"/>
            <w:i w:val="false"/>
            <w:color w:val="000000"/>
            <w:sz w:val="22"/>
          </w:rPr>
          <w:t>217.3</w:t>
        </w:r>
      </w:hyperlink>
      <w:r>
        <w:rPr>
          <w:rFonts w:ascii="Times New Roman" w:hAnsi="Times New Roman"/>
          <w:b w:val="false"/>
          <w:i w:val="false"/>
          <w:color w:val="000000"/>
          <w:sz w:val="22"/>
        </w:rPr>
        <w:t xml:space="preserve">. Meetings of the council and any ad hoc committee it may establish are conducted in accordance with the provisions of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w:t>
      </w:r>
      <w:r>
        <w:rPr>
          <w:rFonts w:ascii="Times New Roman" w:hAnsi="Times New Roman"/>
          <w:b/>
          <w:i w:val="false"/>
          <w:color w:val="000000"/>
          <w:sz w:val="22"/>
        </w:rPr>
        <w:t xml:space="preserve">(217) </w:t>
      </w:r>
      <w:r>
        <w:rPr>
          <w:rFonts w:ascii="Times New Roman" w:hAnsi="Times New Roman"/>
          <w:b/>
          <w:i w:val="false"/>
          <w:color w:val="000000"/>
          <w:sz w:val="22"/>
        </w:rPr>
        <w:t xml:space="preserve">State council on developmental disabilities. </w:t>
      </w:r>
      <w:r>
        <w:rPr>
          <w:rFonts w:ascii="Times New Roman" w:hAnsi="Times New Roman"/>
          <w:b w:val="false"/>
          <w:i w:val="false"/>
          <w:color w:val="000000"/>
          <w:sz w:val="22"/>
        </w:rPr>
        <w:t>The state developmental disabilities council and its duties are established in 42 U.S.C. §15025.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Designated state agency. </w:t>
      </w:r>
      <w:r>
        <w:rPr>
          <w:rFonts w:ascii="Times New Roman" w:hAnsi="Times New Roman"/>
          <w:b w:val="false"/>
          <w:i w:val="false"/>
          <w:color w:val="000000"/>
          <w:sz w:val="22"/>
        </w:rPr>
        <w:t>The department serves as the designated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council consists of up to 26 members appointed by the governor. Members serve three-year terms. Appointments are staggered so at least one-third of the members are appointed each year. The nonattendance provisions of Iowa Code section </w:t>
      </w:r>
      <w:hyperlink r:id="rId9">
        <w:r>
          <w:rPr>
            <w:rStyle w:val="Hyperlink"/>
            <w:rFonts w:ascii="Times New Roman" w:hAnsi="Times New Roman"/>
            <w:b w:val="false"/>
            <w:i w:val="false"/>
            <w:color w:val="000000"/>
            <w:sz w:val="22"/>
          </w:rPr>
          <w:t>69.15</w:t>
        </w:r>
      </w:hyperlink>
      <w:r>
        <w:rPr>
          <w:rFonts w:ascii="Times New Roman" w:hAnsi="Times New Roman"/>
          <w:b w:val="false"/>
          <w:i w:val="false"/>
          <w:color w:val="000000"/>
          <w:sz w:val="22"/>
        </w:rPr>
        <w:t xml:space="preserve"> apply to the council’s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Meetings of the council are conducted in accordance with the provisions of Iowa Code chapter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Council information. </w:t>
      </w:r>
      <w:r>
        <w:rPr>
          <w:rFonts w:ascii="Times New Roman" w:hAnsi="Times New Roman"/>
          <w:b w:val="false"/>
          <w:i w:val="false"/>
          <w:color w:val="000000"/>
          <w:sz w:val="22"/>
        </w:rPr>
        <w:t xml:space="preserve">The general public may obtain information about the council at its offices located at 700 2nd Avenue, Suite 101, Des Moines, Iowa, 50309; telephone 800.452.1936; or the website </w:t>
      </w:r>
      <w:hyperlink r:id="rId11">
        <w:r>
          <w:rPr>
            <w:rStyle w:val="Hyperlink"/>
            <w:rFonts w:ascii="Times New Roman" w:hAnsi="Times New Roman"/>
            <w:b w:val="false"/>
            <w:i w:val="false"/>
            <w:color w:val="000000"/>
            <w:sz w:val="22"/>
            <w:u w:val="single"/>
          </w:rPr>
          <w:t>iowaddcouncil.org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9/19/75, Notice 8/11/75—published 10/6/75, effective 11/10/75]</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2/25/77, Notice 1/12/77—published 3/23/77, effective 4/27/77]</w:t>
      </w:r>
    </w:p>
    <w:p>
      <w:pPr>
        <w:spacing w:before="0" w:after="0"/>
        <w:ind w:left="120"/>
        <w:jc w:val="center"/>
      </w:pPr>
      <w:r>
        <w:rPr>
          <w:rFonts w:ascii="Times New Roman" w:hAnsi="Times New Roman"/>
          <w:b w:val="false"/>
          <w:i w:val="false"/>
          <w:color w:val="000000"/>
          <w:sz w:val="21"/>
        </w:rPr>
        <w:t>[Filed 12/6/77, Notice 9/21/77—published 12/28/77, effective 2/1/78]</w:t>
      </w:r>
    </w:p>
    <w:p>
      <w:pPr>
        <w:spacing w:before="0" w:after="0"/>
        <w:ind w:left="120"/>
        <w:jc w:val="center"/>
      </w:pPr>
      <w:r>
        <w:rPr>
          <w:rFonts w:ascii="Times New Roman" w:hAnsi="Times New Roman"/>
          <w:b w:val="false"/>
          <w:i w:val="false"/>
          <w:color w:val="000000"/>
          <w:sz w:val="21"/>
        </w:rPr>
        <w:t>[Filed 5/8/78, Notice 3/22/78—published 5/31/78, effective 7/5/78]</w:t>
      </w:r>
    </w:p>
    <w:p>
      <w:pPr>
        <w:spacing w:before="0" w:after="0"/>
        <w:ind w:left="120"/>
        <w:jc w:val="center"/>
      </w:pPr>
      <w:r>
        <w:rPr>
          <w:rFonts w:ascii="Times New Roman" w:hAnsi="Times New Roman"/>
          <w:b w:val="false"/>
          <w:i w:val="false"/>
          <w:color w:val="000000"/>
          <w:sz w:val="21"/>
        </w:rPr>
        <w:t>[Filed 6/1/78, Notice 4/19/78—published 6/28/78, effective 8/2/78]</w:t>
      </w:r>
    </w:p>
    <w:p>
      <w:pPr>
        <w:spacing w:before="0" w:after="0"/>
        <w:ind w:left="120"/>
        <w:jc w:val="center"/>
      </w:pPr>
      <w:r>
        <w:rPr>
          <w:rFonts w:ascii="Times New Roman" w:hAnsi="Times New Roman"/>
          <w:b w:val="false"/>
          <w:i w:val="false"/>
          <w:color w:val="000000"/>
          <w:sz w:val="21"/>
        </w:rPr>
        <w:t>[Filed without Notice 9/12/78—published 10/4/78, effective 11/8/78]</w:t>
      </w:r>
    </w:p>
    <w:p>
      <w:pPr>
        <w:spacing w:before="0" w:after="0"/>
        <w:ind w:left="120"/>
        <w:jc w:val="center"/>
      </w:pPr>
      <w:r>
        <w:rPr>
          <w:rFonts w:ascii="Times New Roman" w:hAnsi="Times New Roman"/>
          <w:b w:val="false"/>
          <w:i w:val="false"/>
          <w:color w:val="000000"/>
          <w:sz w:val="21"/>
        </w:rPr>
        <w:t>[Filed 1/4/79, Notice 11/29/78—published 1/24/79, effective 2/28/79]</w:t>
      </w:r>
    </w:p>
    <w:p>
      <w:pPr>
        <w:spacing w:before="0" w:after="0"/>
        <w:ind w:left="120"/>
        <w:jc w:val="center"/>
      </w:pPr>
      <w:r>
        <w:rPr>
          <w:rFonts w:ascii="Times New Roman" w:hAnsi="Times New Roman"/>
          <w:b w:val="false"/>
          <w:i w:val="false"/>
          <w:color w:val="000000"/>
          <w:sz w:val="21"/>
        </w:rPr>
        <w:t>[Filed 3/30/79, Notice 2/21/79—published 4/18/79, effective 5/23/79]</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8/21/81—published 9/16/81, effective 8/21/81]</w:t>
      </w:r>
    </w:p>
    <w:p>
      <w:pPr>
        <w:spacing w:before="0" w:after="0"/>
        <w:ind w:left="120"/>
        <w:jc w:val="center"/>
      </w:pPr>
      <w:r>
        <w:rPr>
          <w:rFonts w:ascii="Times New Roman" w:hAnsi="Times New Roman"/>
          <w:b w:val="false"/>
          <w:i w:val="false"/>
          <w:color w:val="000000"/>
          <w:sz w:val="21"/>
        </w:rPr>
        <w:t>[Filed emergency 12/30/81—published 1/20/82, effective 1/1/82]</w:t>
      </w:r>
    </w:p>
    <w:p>
      <w:pPr>
        <w:spacing w:before="0" w:after="0"/>
        <w:ind w:left="120"/>
        <w:jc w:val="center"/>
      </w:pPr>
      <w:r>
        <w:rPr>
          <w:rFonts w:ascii="Times New Roman" w:hAnsi="Times New Roman"/>
          <w:b w:val="false"/>
          <w:i w:val="false"/>
          <w:color w:val="000000"/>
          <w:sz w:val="21"/>
        </w:rPr>
        <w:t>[Filed 1/28/82, Notice 11/25/81—published 2/17/82, effective 3/24/82]</w:t>
      </w:r>
    </w:p>
    <w:p>
      <w:pPr>
        <w:spacing w:before="0" w:after="0"/>
        <w:ind w:left="120"/>
        <w:jc w:val="center"/>
      </w:pPr>
      <w:r>
        <w:rPr>
          <w:rFonts w:ascii="Times New Roman" w:hAnsi="Times New Roman"/>
          <w:b w:val="false"/>
          <w:i w:val="false"/>
          <w:color w:val="000000"/>
          <w:sz w:val="21"/>
        </w:rPr>
        <w:t>[Filed 4/9/82, Notice 1/20/82—published 4/28/82, effective 6/2/82]</w:t>
      </w:r>
    </w:p>
    <w:p>
      <w:pPr>
        <w:spacing w:before="0" w:after="0"/>
        <w:ind w:left="120"/>
        <w:jc w:val="center"/>
      </w:pPr>
      <w:r>
        <w:rPr>
          <w:rFonts w:ascii="Times New Roman" w:hAnsi="Times New Roman"/>
          <w:b w:val="false"/>
          <w:i w:val="false"/>
          <w:color w:val="000000"/>
          <w:sz w:val="21"/>
        </w:rPr>
        <w:t>[Filed 11/5/82, Notice 9/1/82—published 11/24/82, effective 1/1/83]</w:t>
      </w:r>
    </w:p>
    <w:p>
      <w:pPr>
        <w:spacing w:before="0" w:after="0"/>
        <w:ind w:left="120"/>
        <w:jc w:val="center"/>
      </w:pPr>
      <w:r>
        <w:rPr>
          <w:rFonts w:ascii="Times New Roman" w:hAnsi="Times New Roman"/>
          <w:b w:val="false"/>
          <w:i w:val="false"/>
          <w:color w:val="000000"/>
          <w:sz w:val="21"/>
        </w:rPr>
        <w:t>[Filed 9/26/83, Notice 8/17/83—published 10/12/83, effective 11/16/83]</w:t>
      </w:r>
    </w:p>
    <w:p>
      <w:pPr>
        <w:spacing w:before="0" w:after="0"/>
        <w:ind w:left="120"/>
        <w:jc w:val="center"/>
      </w:pPr>
      <w:r>
        <w:rPr>
          <w:rFonts w:ascii="Times New Roman" w:hAnsi="Times New Roman"/>
          <w:b w:val="false"/>
          <w:i w:val="false"/>
          <w:color w:val="000000"/>
          <w:sz w:val="21"/>
        </w:rPr>
        <w:t>[Filed 7/25/86, Notice 4/23/86—published 8/13/86, effective 10/1/86]</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7/24/87, Notices 5/6/87 and 5/20/87—published 8/12/87, effective 10/1/87]</w:t>
      </w:r>
    </w:p>
    <w:p>
      <w:pPr>
        <w:spacing w:before="0" w:after="0"/>
        <w:ind w:left="120"/>
        <w:jc w:val="center"/>
      </w:pPr>
      <w:r>
        <w:rPr>
          <w:rFonts w:ascii="Times New Roman" w:hAnsi="Times New Roman"/>
          <w:b w:val="false"/>
          <w:i w:val="false"/>
          <w:color w:val="000000"/>
          <w:sz w:val="21"/>
        </w:rPr>
        <w:t>[Filed 1/21/87, Notice 11/4/87—published 2/10/88, effective 4/1/88]</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2/19/92, Notice 8/7/91—published 2/19/92, effective 3/25/92]</w:t>
      </w:r>
    </w:p>
    <w:p>
      <w:pPr>
        <w:spacing w:before="0" w:after="0"/>
        <w:ind w:left="120"/>
        <w:jc w:val="center"/>
      </w:pPr>
      <w:r>
        <w:rPr>
          <w:rFonts w:ascii="Times New Roman" w:hAnsi="Times New Roman"/>
          <w:b w:val="false"/>
          <w:i w:val="false"/>
          <w:color w:val="000000"/>
          <w:sz w:val="21"/>
        </w:rPr>
        <w:t>[Filed emergency 5/13/92—published 6/10/92, effective 5/14/92]</w:t>
      </w:r>
    </w:p>
    <w:p>
      <w:pPr>
        <w:spacing w:before="0" w:after="0"/>
        <w:ind w:left="120"/>
        <w:jc w:val="center"/>
      </w:pPr>
      <w:r>
        <w:rPr>
          <w:rFonts w:ascii="Times New Roman" w:hAnsi="Times New Roman"/>
          <w:b w:val="false"/>
          <w:i w:val="false"/>
          <w:color w:val="000000"/>
          <w:sz w:val="21"/>
        </w:rPr>
        <w:t>[Filed 7/17/92, Notice 6/10/92—published 8/5/92, effective 10/1/92]</w:t>
      </w:r>
    </w:p>
    <w:p>
      <w:pPr>
        <w:spacing w:before="0" w:after="0"/>
        <w:ind w:left="120"/>
        <w:jc w:val="center"/>
      </w:pPr>
      <w:r>
        <w:rPr>
          <w:rFonts w:ascii="Times New Roman" w:hAnsi="Times New Roman"/>
          <w:b w:val="false"/>
          <w:i w:val="false"/>
          <w:color w:val="000000"/>
          <w:sz w:val="21"/>
        </w:rPr>
        <w:t>[Filed 12/4/92, Notice 8/19/92—published 12/23/92, effective 1/27/93]</w:t>
      </w:r>
    </w:p>
    <w:p>
      <w:pPr>
        <w:spacing w:before="0" w:after="0"/>
        <w:ind w:left="120"/>
        <w:jc w:val="center"/>
      </w:pPr>
      <w:r>
        <w:rPr>
          <w:rFonts w:ascii="Times New Roman" w:hAnsi="Times New Roman"/>
          <w:b w:val="false"/>
          <w:i w:val="false"/>
          <w:color w:val="000000"/>
          <w:sz w:val="21"/>
        </w:rPr>
        <w:t>[Filed 6/11/93, Notice 4/14/93—published 7/7/93, effective 9/1/93]</w:t>
      </w:r>
    </w:p>
    <w:p>
      <w:pPr>
        <w:spacing w:before="0" w:after="0"/>
        <w:ind w:left="120"/>
        <w:jc w:val="center"/>
      </w:pPr>
      <w:r>
        <w:rPr>
          <w:rFonts w:ascii="Times New Roman" w:hAnsi="Times New Roman"/>
          <w:b w:val="false"/>
          <w:i w:val="false"/>
          <w:color w:val="000000"/>
          <w:sz w:val="21"/>
        </w:rPr>
        <w:t>[Filed 1/10/96, Notice 11/22/95—published 1/31/96, effective 4/1/96]</w:t>
      </w:r>
    </w:p>
    <w:p>
      <w:pPr>
        <w:spacing w:before="0" w:after="0"/>
        <w:ind w:left="120"/>
        <w:jc w:val="center"/>
      </w:pPr>
      <w:r>
        <w:rPr>
          <w:rFonts w:ascii="Times New Roman" w:hAnsi="Times New Roman"/>
          <w:b w:val="false"/>
          <w:i w:val="false"/>
          <w:color w:val="000000"/>
          <w:sz w:val="21"/>
        </w:rPr>
        <w:t>[Filed emergency 6/29/98—published 7/29/98, effective 7/1/98]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10/21/98, Notice 7/29/98—published 11/18/98, effective 1/1/99]</w:t>
      </w:r>
    </w:p>
    <w:p>
      <w:pPr>
        <w:spacing w:before="0" w:after="0"/>
        <w:ind w:left="120"/>
        <w:jc w:val="center"/>
      </w:pPr>
      <w:r>
        <w:rPr>
          <w:rFonts w:ascii="Times New Roman" w:hAnsi="Times New Roman"/>
          <w:b w:val="false"/>
          <w:i w:val="false"/>
          <w:color w:val="000000"/>
          <w:sz w:val="21"/>
        </w:rPr>
        <w:t>[Filed 12/8/99, Notice 10/20/99—published 12/29/99, effective 3/1/00]</w:t>
      </w:r>
    </w:p>
    <w:p>
      <w:pPr>
        <w:spacing w:before="0" w:after="0"/>
        <w:ind w:left="120"/>
        <w:jc w:val="center"/>
      </w:pPr>
      <w:r>
        <w:rPr>
          <w:rFonts w:ascii="Times New Roman" w:hAnsi="Times New Roman"/>
          <w:b w:val="false"/>
          <w:i w:val="false"/>
          <w:color w:val="000000"/>
          <w:sz w:val="21"/>
        </w:rPr>
        <w:t>[Filed 9/12/00, Notice 7/26/00—published 10/4/00, effective 12/1/00]</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4/10/02, Notice 12/12/01—published 5/1/02, effective 7/1/02]</w:t>
      </w:r>
    </w:p>
    <w:p>
      <w:pPr>
        <w:spacing w:before="0" w:after="0"/>
        <w:ind w:left="120"/>
        <w:jc w:val="center"/>
      </w:pPr>
      <w:r>
        <w:rPr>
          <w:rFonts w:ascii="Times New Roman" w:hAnsi="Times New Roman"/>
          <w:b w:val="false"/>
          <w:i w:val="false"/>
          <w:color w:val="000000"/>
          <w:sz w:val="21"/>
        </w:rPr>
        <w:t>[Filed emergency 6/20/03—published 7/9/03, effective 7/1/03]</w:t>
      </w:r>
    </w:p>
    <w:p>
      <w:pPr>
        <w:spacing w:before="0" w:after="0"/>
        <w:ind w:left="120"/>
        <w:jc w:val="center"/>
      </w:pPr>
      <w:r>
        <w:rPr>
          <w:rFonts w:ascii="Times New Roman" w:hAnsi="Times New Roman"/>
          <w:b w:val="false"/>
          <w:i w:val="false"/>
          <w:color w:val="000000"/>
          <w:sz w:val="21"/>
        </w:rPr>
        <w:t>[Filed 10/23/03, Notice 7/9/03—published 11/12/03, effective 1/1/04]</w:t>
      </w:r>
    </w:p>
    <w:p>
      <w:pPr>
        <w:spacing w:before="0" w:after="0"/>
        <w:ind w:left="120"/>
        <w:jc w:val="center"/>
      </w:pPr>
      <w:r>
        <w:rPr>
          <w:rFonts w:ascii="Times New Roman" w:hAnsi="Times New Roman"/>
          <w:b w:val="false"/>
          <w:i w:val="false"/>
          <w:color w:val="000000"/>
          <w:sz w:val="21"/>
        </w:rPr>
        <w:t>[Filed ARC 7711C</w:t>
      </w:r>
      <w:r>
        <w:rPr>
          <w:rFonts w:ascii="Times New Roman" w:hAnsi="Times New Roman"/>
          <w:b w:val="false"/>
          <w:i w:val="false"/>
          <w:color w:val="000000"/>
          <w:sz w:val="21"/>
        </w:rPr>
        <w:t xml:space="preserve"> (Notice ARC 7062C,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7/8/26]</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7711C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7.5.pdf" Type="http://schemas.openxmlformats.org/officeDocument/2006/relationships/hyperlink" Id="rId5"/>
    <Relationship TargetMode="External" Target="https://www.legis.iowa.gov/docs/ico/chapter/217.2.pdf" Type="http://schemas.openxmlformats.org/officeDocument/2006/relationships/hyperlink" Id="rId6"/>
    <Relationship TargetMode="External" Target="https://www.legis.iowa.gov/docs/ico/chapter/217.3.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69.15.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iowaddcouncil.org"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