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371—9.1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“(official or body issuing these rules)” insert “the fair board”.</w:t>
      </w:r>
    </w:p>
    <w:p>
      <w:pPr>
        <w:spacing w:before="210" w:after="0"/>
        <w:ind w:left="120"/>
        <w:jc w:val="both"/>
      </w:pPr>
      <w:r>
        <w:rPr>
          <w:rFonts w:ascii="Times New Roman" w:hAnsi="Times New Roman"/>
          <w:b/>
          <w:i w:val="false"/>
          <w:color w:val="000000"/>
          <w:sz w:val="22"/>
        </w:rPr>
        <w:t>371—9.3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371—9.9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371—9.10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371—9.11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371—9.12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371—9.13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371—9.14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information—personnel files. </w:t>
      </w:r>
      <w:r>
        <w:rPr>
          <w:rFonts w:ascii="Times New Roman" w:hAnsi="Times New Roman"/>
          <w:b w:val="false"/>
          <w:i w:val="false"/>
          <w:color w:val="000000"/>
          <w:sz w:val="22"/>
        </w:rPr>
        <w:t xml:space="preserve">The fair board maintains files containing information about employees and applicants for positions with the agency. The files include payroll records,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371—9.15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6">
        <w:r>
          <w:rPr>
            <w:rStyle w:val="Hyperlink"/>
            <w:rFonts w:ascii="Times New Roman" w:hAnsi="Times New Roman"/>
            <w:b w:val="false"/>
            <w:i w:val="false"/>
            <w:color w:val="000000"/>
            <w:sz w:val="22"/>
          </w:rPr>
          <w:t>9.1(17A,22)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rule </w:t>
      </w:r>
      <w:hyperlink r:id="rId7">
        <w:r>
          <w:rPr>
            <w:rStyle w:val="Hyperlink"/>
            <w:rFonts w:ascii="Times New Roman" w:hAnsi="Times New Roman"/>
            <w:b w:val="false"/>
            <w:i w:val="false"/>
            <w:color w:val="000000"/>
            <w:sz w:val="22"/>
          </w:rPr>
          <w:t>9.13(17A,22)</w:t>
        </w:r>
      </w:hyperlink>
      <w:r>
        <w:rPr>
          <w:rFonts w:ascii="Times New Roman" w:hAnsi="Times New Roman"/>
          <w:b w:val="false"/>
          <w:i w:val="false"/>
          <w:color w:val="000000"/>
          <w:sz w:val="22"/>
        </w:rPr>
        <w:t>. The records listed may contain information about individuals.</w:t>
      </w:r>
    </w:p>
    <w:p>
      <w:pPr>
        <w:spacing w:before="0" w:after="0"/>
        <w:ind w:left="120"/>
        <w:jc w:val="both"/>
      </w:pPr>
      <w:r>
        <w:rPr>
          <w:rFonts w:ascii="Times New Roman" w:hAnsi="Times New Roman"/>
          <w:b w:val="false"/>
          <w:i w:val="false"/>
          <w:color w:val="000000"/>
          <w:sz w:val="22"/>
        </w:rPr>
        <w:t xml:space="preserve">Council and commission records. Agendas, minutes, and materials presented to the fair board are available from the office of the fair board, except those records concerning closed sessions which are exempt from disclosure under Iowa Code section </w:t>
      </w:r>
      <w:hyperlink r:id="rId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Fair board records contain information about people who participate in meetings. This information is collected pursuant to Iowa Code section </w:t>
      </w:r>
      <w:hyperlink r:id="rId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Publications. 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Office publications. This office issues a variety of materials including premium books and newsletters, brochures and pamphlets, press releases, and statistical reports.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Rule-making records. 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Office manuals. Information in office manuals such as the Superintendents Manual may be confidential under Iowa Code section </w:t>
      </w:r>
      <w:hyperlink r:id="rId10">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371—9.16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8/1/88, Notice 5/18/88—published 8/24/88, effective 9/28/88]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ac/rule/371.9.1.pdf" Type="http://schemas.openxmlformats.org/officeDocument/2006/relationships/hyperlink" Id="rId6"/>
    <Relationship TargetMode="External" Target="https://www.legis.iowa.gov/docs/iac/rule/371.9.13.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3.pdf" Type="http://schemas.openxmlformats.org/officeDocument/2006/relationships/hyperlink" Id="rId9"/>
    <Relationship TargetMode="External" Target="https://www.legis.iowa.gov/docs/ico/chapter/17A.2.pdf" Type="http://schemas.openxmlformats.org/officeDocument/2006/relationships/hyperlink" Id="rId10"/>
    <Relationship TargetMode="External" Target="https://www.legis.iowa.gov/docs/ico/chapter/22.1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