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YOUTH HOUSING AND DINING HALL</w:t>
      </w:r>
    </w:p>
    <w:p>
      <w:pPr>
        <w:spacing w:before="0" w:after="0"/>
        <w:ind w:left="120"/>
        <w:jc w:val="center"/>
      </w:pPr>
      <w:r>
        <w:rPr>
          <w:rFonts w:ascii="Times New Roman" w:hAnsi="Times New Roman"/>
          <w:b w:val="false"/>
          <w:i w:val="false"/>
          <w:color w:val="000000"/>
          <w:sz w:val="14"/>
        </w:rPr>
        <w:t>[Prior to 5/18/88, see Fair Board[430]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371—5.1</w:t>
      </w:r>
      <w:r>
        <w:rPr>
          <w:rFonts w:ascii="Times New Roman" w:hAnsi="Times New Roman"/>
          <w:b/>
          <w:i w:val="false"/>
          <w:color w:val="000000"/>
          <w:sz w:val="22"/>
        </w:rPr>
        <w:t xml:space="preserve">(173) </w:t>
      </w:r>
      <w:r>
        <w:rPr>
          <w:rFonts w:ascii="Times New Roman" w:hAnsi="Times New Roman"/>
          <w:b/>
          <w:i w:val="false"/>
          <w:color w:val="000000"/>
          <w:sz w:val="22"/>
        </w:rPr>
        <w:t xml:space="preserve">Housing. </w:t>
      </w:r>
      <w:r>
        <w:rPr>
          <w:rFonts w:ascii="Times New Roman" w:hAnsi="Times New Roman"/>
          <w:b w:val="false"/>
          <w:i w:val="false"/>
          <w:color w:val="000000"/>
          <w:sz w:val="22"/>
        </w:rPr>
        <w:t>Youth inn privileges will be available to those 4-H and FFA members and other youth participants, leaders, staff and other fair personnel who will abide by the rules and will cooperate with the state fair management and youth inn supervisors.</w:t>
      </w:r>
    </w:p>
    <w:p>
      <w:pPr>
        <w:spacing w:before="0" w:after="0"/>
        <w:ind w:left="120"/>
        <w:jc w:val="both"/>
      </w:pPr>
      <w:r>
        <w:rPr>
          <w:rFonts w:ascii="Times New Roman" w:hAnsi="Times New Roman"/>
          <w:b w:val="false"/>
          <w:i w:val="false"/>
          <w:color w:val="000000"/>
          <w:sz w:val="22"/>
        </w:rPr>
        <w:t>4-H and FFA exhibitors staying overnight on the fairgrounds are to sleep in the youth inns unless the exhibitors are staying with parents, in which case the parents must appear in person to make arrangements. Chaperons accompanying youth staying at youth inn must sleep in the dorm area assigned to this group. Exhibitors violating this rule will forfeit all rights to show and any premium money previously won. A fee on a per-night basis will be charged for each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371—5.2</w:t>
      </w:r>
      <w:r>
        <w:rPr>
          <w:rFonts w:ascii="Times New Roman" w:hAnsi="Times New Roman"/>
          <w:b/>
          <w:i w:val="false"/>
          <w:color w:val="000000"/>
          <w:sz w:val="22"/>
        </w:rPr>
        <w:t xml:space="preserve">(173) </w:t>
      </w:r>
      <w:r>
        <w:rPr>
          <w:rFonts w:ascii="Times New Roman" w:hAnsi="Times New Roman"/>
          <w:b/>
          <w:i w:val="false"/>
          <w:color w:val="000000"/>
          <w:sz w:val="22"/>
        </w:rPr>
        <w:t xml:space="preserve">Dining hall.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4/12/95</w:t>
      </w:r>
      <w:r>
        <w:rPr>
          <w:rFonts w:ascii="Times New Roman" w:hAnsi="Times New Roman"/>
          <w:b w:val="false"/>
          <w:i w:val="false"/>
          <w:color w:val="000000"/>
          <w:sz w:val="22"/>
        </w:rPr>
        <w:t>, effective 5/17/95.</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4/22/88, Notice 2/24/88—published 5/18/88, effective 6/30/88]</w:t>
      </w:r>
    </w:p>
    <w:p>
      <w:pPr>
        <w:spacing w:before="0" w:after="0"/>
        <w:ind w:left="120"/>
        <w:jc w:val="center"/>
      </w:pPr>
      <w:r>
        <w:rPr>
          <w:rFonts w:ascii="Times New Roman" w:hAnsi="Times New Roman"/>
          <w:b w:val="false"/>
          <w:i w:val="false"/>
          <w:color w:val="000000"/>
          <w:sz w:val="21"/>
        </w:rPr>
        <w:t>[Filed 3/23/95, Notice 2/15/95—published 4/12/95, effective 5/17/95]</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