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w:t>
      </w:r>
    </w:p>
    <w:p>
      <w:pPr>
        <w:spacing w:before="0" w:after="0"/>
        <w:ind w:left="120"/>
        <w:jc w:val="center"/>
      </w:pPr>
      <w:r>
        <w:rPr>
          <w:rFonts w:ascii="Times New Roman" w:hAnsi="Times New Roman"/>
          <w:b w:val="false"/>
          <w:i w:val="false"/>
          <w:color w:val="000000"/>
          <w:sz w:val="21"/>
        </w:rPr>
        <w:t>COMPLAINT, INVESTIGATION, AND RESOLUTION PROCEDURES</w:t>
      </w:r>
    </w:p>
    <w:p>
      <w:pPr>
        <w:spacing w:before="0" w:after="0"/>
        <w:ind w:left="120"/>
        <w:jc w:val="center"/>
      </w:pPr>
      <w:r>
        <w:rPr>
          <w:rFonts w:ascii="Times New Roman" w:hAnsi="Times New Roman"/>
          <w:b w:val="false"/>
          <w:i w:val="false"/>
          <w:color w:val="000000"/>
          <w:sz w:val="14"/>
        </w:rPr>
        <w:t>[Prior to 9/9/87, Campaign Finance Disclosure[190] Ch 1]</w:t>
      </w:r>
    </w:p>
    <w:p>
      <w:pPr>
        <w:spacing w:before="0" w:after="0"/>
        <w:ind w:left="120"/>
        <w:jc w:val="center"/>
      </w:pPr>
      <w:r>
        <w:rPr>
          <w:rFonts w:ascii="Times New Roman" w:hAnsi="Times New Roman"/>
          <w:b w:val="false"/>
          <w:i w:val="false"/>
          <w:color w:val="000000"/>
          <w:sz w:val="14"/>
        </w:rPr>
        <w:t>[Prior to 3/30/94, Campaign Finance Disclosure Commission[121] Ch 1]</w:t>
      </w:r>
    </w:p>
    <w:p>
      <w:pPr>
        <w:spacing w:before="0" w:after="0"/>
        <w:ind w:left="120"/>
        <w:jc w:val="center"/>
      </w:pPr>
      <w:r>
        <w:rPr>
          <w:rFonts w:ascii="Times New Roman" w:hAnsi="Times New Roman"/>
          <w:b w:val="false"/>
          <w:i w:val="false"/>
          <w:color w:val="000000"/>
          <w:sz w:val="14"/>
        </w:rPr>
        <w:t>[Prior to 8/21/02, see 351—Ch 1]</w:t>
      </w:r>
    </w:p>
    <w:p>
      <w:pPr>
        <w:spacing w:before="0" w:after="0"/>
        <w:ind w:left="120"/>
        <w:jc w:val="center"/>
      </w:pPr>
      <w:r>
        <w:rPr>
          <w:rFonts w:ascii="Times New Roman" w:hAnsi="Times New Roman"/>
          <w:b w:val="false"/>
          <w:i w:val="false"/>
          <w:color w:val="000000"/>
          <w:sz w:val="14"/>
        </w:rPr>
        <w:t>[Prior to 9/17/03, see 351—Ch 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6/3/31</w:t>
      </w:r>
    </w:p>
    <w:p>
      <w:pPr>
        <w:spacing w:before="0" w:after="0"/>
        <w:ind w:left="120"/>
        <w:jc w:val="both"/>
      </w:pPr>
      <w:r>
        <w:rPr>
          <w:rFonts w:ascii="Times New Roman" w:hAnsi="Times New Roman"/>
          <w:b/>
          <w:i w:val="false"/>
          <w:color w:val="000000"/>
          <w:sz w:val="22"/>
        </w:rPr>
        <w:t>351—9.1</w:t>
      </w:r>
      <w:r>
        <w:rPr>
          <w:rFonts w:ascii="Times New Roman" w:hAnsi="Times New Roman"/>
          <w:b/>
          <w:i w:val="false"/>
          <w:color w:val="000000"/>
          <w:sz w:val="22"/>
        </w:rPr>
        <w:t xml:space="preserve">(68B) </w:t>
      </w:r>
      <w:r>
        <w:rPr>
          <w:rFonts w:ascii="Times New Roman" w:hAnsi="Times New Roman"/>
          <w:b/>
          <w:i w:val="false"/>
          <w:color w:val="000000"/>
          <w:sz w:val="22"/>
        </w:rPr>
        <w:t xml:space="preserve">Complaints.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w:t>
      </w:r>
      <w:r>
        <w:rPr>
          <w:rFonts w:ascii="Times New Roman" w:hAnsi="Times New Roman"/>
          <w:b w:val="false"/>
          <w:i w:val="false"/>
          <w:color w:val="000000"/>
          <w:sz w:val="22"/>
        </w:rPr>
        <w:t> </w:t>
      </w:r>
      <w:r>
        <w:rPr>
          <w:rFonts w:ascii="Times New Roman" w:hAnsi="Times New Roman"/>
          <w:b w:val="false"/>
          <w:i/>
          <w:color w:val="000000"/>
          <w:sz w:val="22"/>
        </w:rPr>
        <w:t xml:space="preserve">Form. </w:t>
      </w:r>
      <w:r>
        <w:rPr>
          <w:rFonts w:ascii="Times New Roman" w:hAnsi="Times New Roman"/>
          <w:b w:val="false"/>
          <w:i w:val="false"/>
          <w:color w:val="000000"/>
          <w:sz w:val="22"/>
        </w:rPr>
        <w:t xml:space="preserve">A complaint will be on forms provided by the board and will be certified under penalty of perjury. The complaint will contain all information required by Iowa Code section </w:t>
      </w:r>
      <w:hyperlink r:id="rId5">
        <w:r>
          <w:rPr>
            <w:rStyle w:val="Hyperlink"/>
            <w:rFonts w:ascii="Times New Roman" w:hAnsi="Times New Roman"/>
            <w:b w:val="false"/>
            <w:i w:val="false"/>
            <w:color w:val="000000"/>
            <w:sz w:val="22"/>
          </w:rPr>
          <w:t>68B.32B(1)</w:t>
        </w:r>
      </w:hyperlink>
      <w:r>
        <w:rPr>
          <w:rFonts w:ascii="Times New Roman" w:hAnsi="Times New Roman"/>
          <w:b w:val="false"/>
          <w:i w:val="false"/>
          <w:color w:val="000000"/>
          <w:sz w:val="22"/>
        </w:rPr>
        <w:t>. The complainant may attach up to 20 pages of supporting documents to the complaint. The Board’s legal counsel will review the complaint for sufficiency of form. If the complaint is deficient as to form, the complaint will be returned to the complainant with a statement of deficiency.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w:t>
      </w:r>
      <w:r>
        <w:rPr>
          <w:rFonts w:ascii="Times New Roman" w:hAnsi="Times New Roman"/>
          <w:b w:val="false"/>
          <w:i w:val="false"/>
          <w:color w:val="000000"/>
          <w:sz w:val="22"/>
        </w:rPr>
        <w:t> </w:t>
      </w:r>
      <w:r>
        <w:rPr>
          <w:rFonts w:ascii="Times New Roman" w:hAnsi="Times New Roman"/>
          <w:b w:val="false"/>
          <w:i/>
          <w:color w:val="000000"/>
          <w:sz w:val="22"/>
        </w:rPr>
        <w:t xml:space="preserve">Board acceptance. </w:t>
      </w:r>
      <w:r>
        <w:rPr>
          <w:rFonts w:ascii="Times New Roman" w:hAnsi="Times New Roman"/>
          <w:b w:val="false"/>
          <w:i w:val="false"/>
          <w:color w:val="000000"/>
          <w:sz w:val="22"/>
        </w:rPr>
        <w:t xml:space="preserve">A complaint will be deemed accepted if, after legal review by the board’s legal counsel, review by the chairperson, and a vote of the board, it is determined the complaint contains the requirements as listed in Iowa Code section </w:t>
      </w:r>
      <w:hyperlink r:id="rId6">
        <w:r>
          <w:rPr>
            <w:rStyle w:val="Hyperlink"/>
            <w:rFonts w:ascii="Times New Roman" w:hAnsi="Times New Roman"/>
            <w:b w:val="false"/>
            <w:i w:val="false"/>
            <w:color w:val="000000"/>
            <w:sz w:val="22"/>
          </w:rPr>
          <w:t>68B.32B(4)</w:t>
        </w:r>
      </w:hyperlink>
      <w:r>
        <w:rPr>
          <w:rFonts w:ascii="Times New Roman" w:hAnsi="Times New Roman"/>
          <w:b w:val="false"/>
          <w:i w:val="false"/>
          <w:color w:val="000000"/>
          <w:sz w:val="22"/>
        </w:rPr>
        <w:t>. If both the board’s legal counsel and the board opine that the complaint does not contain a legally sufficient allegation, the complaint will be dismissed.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 xml:space="preserve">Notice to the subject of a complaint is made only when a complaint is accepted, subject to the conditions of Iowa Code section </w:t>
      </w:r>
      <w:hyperlink r:id="rId7">
        <w:r>
          <w:rPr>
            <w:rStyle w:val="Hyperlink"/>
            <w:rFonts w:ascii="Times New Roman" w:hAnsi="Times New Roman"/>
            <w:b w:val="false"/>
            <w:i w:val="false"/>
            <w:color w:val="000000"/>
            <w:sz w:val="22"/>
          </w:rPr>
          <w:t>68B.32B(3)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9.1(4)</w:t>
      </w:r>
      <w:r>
        <w:rPr>
          <w:rFonts w:ascii="Times New Roman" w:hAnsi="Times New Roman"/>
          <w:b w:val="false"/>
          <w:i w:val="false"/>
          <w:color w:val="000000"/>
          <w:sz w:val="22"/>
        </w:rPr>
        <w:t> </w:t>
      </w:r>
      <w:r>
        <w:rPr>
          <w:rFonts w:ascii="Times New Roman" w:hAnsi="Times New Roman"/>
          <w:b w:val="false"/>
          <w:i/>
          <w:color w:val="000000"/>
          <w:sz w:val="22"/>
        </w:rPr>
        <w:t xml:space="preserve">Board review. </w:t>
      </w:r>
      <w:r>
        <w:rPr>
          <w:rFonts w:ascii="Times New Roman" w:hAnsi="Times New Roman"/>
          <w:b w:val="false"/>
          <w:i w:val="false"/>
          <w:color w:val="000000"/>
          <w:sz w:val="22"/>
        </w:rPr>
        <w:t>The board’s review of a formal complaint for legal sufficiency is not a contested case proceeding and will be made solely on the contents of the complaint. Dismissal for lack of legal sufficiency is not subject to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9.1(5)</w:t>
      </w:r>
      <w:r>
        <w:rPr>
          <w:rFonts w:ascii="Times New Roman" w:hAnsi="Times New Roman"/>
          <w:b w:val="false"/>
          <w:i w:val="false"/>
          <w:color w:val="000000"/>
          <w:sz w:val="22"/>
        </w:rPr>
        <w:t> </w:t>
      </w:r>
      <w:r>
        <w:rPr>
          <w:rFonts w:ascii="Times New Roman" w:hAnsi="Times New Roman"/>
          <w:b w:val="false"/>
          <w:i/>
          <w:color w:val="000000"/>
          <w:sz w:val="22"/>
        </w:rPr>
        <w:t xml:space="preserve">Information provided to board. </w:t>
      </w:r>
      <w:r>
        <w:rPr>
          <w:rFonts w:ascii="Times New Roman" w:hAnsi="Times New Roman"/>
          <w:b w:val="false"/>
          <w:i w:val="false"/>
          <w:color w:val="000000"/>
          <w:sz w:val="22"/>
        </w:rPr>
        <w:t>The board may, on its own motion and without the filing of a complaint, initiate investigations into matters that the board believes may be subject to the board’s jurisdiction.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0240D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351—9.2</w:t>
      </w:r>
      <w:r>
        <w:rPr>
          <w:rFonts w:ascii="Times New Roman" w:hAnsi="Times New Roman"/>
          <w:b/>
          <w:i w:val="false"/>
          <w:color w:val="000000"/>
          <w:sz w:val="22"/>
        </w:rPr>
        <w:t xml:space="preserve">(68B) </w:t>
      </w:r>
      <w:r>
        <w:rPr>
          <w:rFonts w:ascii="Times New Roman" w:hAnsi="Times New Roman"/>
          <w:b/>
          <w:i w:val="false"/>
          <w:color w:val="000000"/>
          <w:sz w:val="22"/>
        </w:rPr>
        <w:t xml:space="preserve">Investigations—board action.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w:t>
      </w:r>
      <w:r>
        <w:rPr>
          <w:rFonts w:ascii="Times New Roman" w:hAnsi="Times New Roman"/>
          <w:b w:val="false"/>
          <w:i w:val="false"/>
          <w:color w:val="000000"/>
          <w:sz w:val="22"/>
        </w:rPr>
        <w:t> </w:t>
      </w:r>
      <w:r>
        <w:rPr>
          <w:rFonts w:ascii="Times New Roman" w:hAnsi="Times New Roman"/>
          <w:b w:val="false"/>
          <w:i/>
          <w:color w:val="000000"/>
          <w:sz w:val="22"/>
        </w:rPr>
        <w:t xml:space="preserve">Board-initiated investigation. </w:t>
      </w:r>
      <w:r>
        <w:rPr>
          <w:rFonts w:ascii="Times New Roman" w:hAnsi="Times New Roman"/>
          <w:b w:val="false"/>
          <w:i w:val="false"/>
          <w:color w:val="000000"/>
          <w:sz w:val="22"/>
        </w:rPr>
        <w:t>In addition to investigations of legally sufficient complaints, the board may, on its own motion, refer to staff for investigation matters that the board believes may be subject to the board’s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w:t>
      </w:r>
      <w:r>
        <w:rPr>
          <w:rFonts w:ascii="Times New Roman" w:hAnsi="Times New Roman"/>
          <w:b w:val="false"/>
          <w:i w:val="false"/>
          <w:color w:val="000000"/>
          <w:sz w:val="22"/>
        </w:rPr>
        <w:t> </w:t>
      </w:r>
      <w:r>
        <w:rPr>
          <w:rFonts w:ascii="Times New Roman" w:hAnsi="Times New Roman"/>
          <w:b w:val="false"/>
          <w:i/>
          <w:color w:val="000000"/>
          <w:sz w:val="22"/>
        </w:rPr>
        <w:t xml:space="preserve">Subpoenas. </w:t>
      </w:r>
      <w:r>
        <w:rPr>
          <w:rFonts w:ascii="Times New Roman" w:hAnsi="Times New Roman"/>
          <w:b w:val="false"/>
          <w:i w:val="false"/>
          <w:color w:val="000000"/>
          <w:sz w:val="22"/>
        </w:rPr>
        <w:t>Investigations may include the issuance and enforcement of investigative subpoenas requiring the production of real evidence as well as requiring the attendance and testimony of witnesses.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w:t>
      </w:r>
      <w:r>
        <w:rPr>
          <w:rFonts w:ascii="Times New Roman" w:hAnsi="Times New Roman"/>
          <w:b w:val="false"/>
          <w:i w:val="false"/>
          <w:color w:val="000000"/>
          <w:sz w:val="22"/>
        </w:rPr>
        <w:t> </w:t>
      </w:r>
      <w:r>
        <w:rPr>
          <w:rFonts w:ascii="Times New Roman" w:hAnsi="Times New Roman"/>
          <w:b w:val="false"/>
          <w:i/>
          <w:color w:val="000000"/>
          <w:sz w:val="22"/>
        </w:rPr>
        <w:t xml:space="preserve">Completion. </w:t>
      </w:r>
      <w:r>
        <w:rPr>
          <w:rFonts w:ascii="Times New Roman" w:hAnsi="Times New Roman"/>
          <w:b w:val="false"/>
          <w:i w:val="false"/>
          <w:color w:val="000000"/>
          <w:sz w:val="22"/>
        </w:rPr>
        <w:t>Upon completion of an investigation, staff will make a report to the board, and the board’s legal counsel may provide a recommendation for board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w:t>
      </w:r>
      <w:r>
        <w:rPr>
          <w:rFonts w:ascii="Times New Roman" w:hAnsi="Times New Roman"/>
          <w:b w:val="false"/>
          <w:i w:val="false"/>
          <w:color w:val="000000"/>
          <w:sz w:val="22"/>
        </w:rPr>
        <w:t> </w:t>
      </w:r>
      <w:r>
        <w:rPr>
          <w:rFonts w:ascii="Times New Roman" w:hAnsi="Times New Roman"/>
          <w:b w:val="false"/>
          <w:i/>
          <w:color w:val="000000"/>
          <w:sz w:val="22"/>
        </w:rPr>
        <w:t xml:space="preserve">Board action. </w:t>
      </w:r>
      <w:r>
        <w:rPr>
          <w:rFonts w:ascii="Times New Roman" w:hAnsi="Times New Roman"/>
          <w:b w:val="false"/>
          <w:i w:val="false"/>
          <w:color w:val="000000"/>
          <w:sz w:val="22"/>
        </w:rPr>
        <w:t>Upon receipt and review of the investigative findings and any recommendations, the board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Redirect the matter for further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Dismiss the matter for lack of probable cause to believe a violation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Dismiss the matter without a determination regarding probable cause as an exercise of administrative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Make a determination that probable cause exists to believe a violation has occurred and direct administrative resolution of the matter as provided in subrule </w:t>
      </w:r>
      <w:hyperlink r:id="rId8">
        <w:r>
          <w:rPr>
            <w:rStyle w:val="Hyperlink"/>
            <w:rFonts w:ascii="Times New Roman" w:hAnsi="Times New Roman"/>
            <w:b w:val="false"/>
            <w:i w:val="false"/>
            <w:color w:val="000000"/>
            <w:sz w:val="22"/>
          </w:rPr>
          <w:t>9.3(2)</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Make a determination that probable cause exists to believe a violation has occurred and direct the issuance of a statement of charges to initiate a contested case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0240D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351—9.3</w:t>
      </w:r>
      <w:r>
        <w:rPr>
          <w:rFonts w:ascii="Times New Roman" w:hAnsi="Times New Roman"/>
          <w:b/>
          <w:i w:val="false"/>
          <w:color w:val="000000"/>
          <w:sz w:val="22"/>
        </w:rPr>
        <w:t xml:space="preserve">(68B) </w:t>
      </w:r>
      <w:r>
        <w:rPr>
          <w:rFonts w:ascii="Times New Roman" w:hAnsi="Times New Roman"/>
          <w:b/>
          <w:i w:val="false"/>
          <w:color w:val="000000"/>
          <w:sz w:val="22"/>
        </w:rPr>
        <w:t xml:space="preserve">Disciplinary remedies; administrative resolution of enforcement matters.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w:t>
      </w:r>
      <w:r>
        <w:rPr>
          <w:rFonts w:ascii="Times New Roman" w:hAnsi="Times New Roman"/>
          <w:b w:val="false"/>
          <w:i w:val="false"/>
          <w:color w:val="000000"/>
          <w:sz w:val="22"/>
        </w:rPr>
        <w:t> </w:t>
      </w:r>
      <w:r>
        <w:rPr>
          <w:rFonts w:ascii="Times New Roman" w:hAnsi="Times New Roman"/>
          <w:b w:val="false"/>
          <w:i/>
          <w:color w:val="000000"/>
          <w:sz w:val="22"/>
        </w:rPr>
        <w:t xml:space="preserve">Action after hearing. </w:t>
      </w:r>
      <w:r>
        <w:rPr>
          <w:rFonts w:ascii="Times New Roman" w:hAnsi="Times New Roman"/>
          <w:b w:val="false"/>
          <w:i w:val="false"/>
          <w:color w:val="000000"/>
          <w:sz w:val="22"/>
        </w:rPr>
        <w:t xml:space="preserve">If it is determined after a contested case proceeding that a violation of statute or rule under the board’s jurisdiction has occurred, the board may impose any of the actions set out in Iowa Code section </w:t>
      </w:r>
      <w:hyperlink r:id="rId9">
        <w:r>
          <w:rPr>
            <w:rStyle w:val="Hyperlink"/>
            <w:rFonts w:ascii="Times New Roman" w:hAnsi="Times New Roman"/>
            <w:b w:val="false"/>
            <w:i w:val="false"/>
            <w:color w:val="000000"/>
            <w:sz w:val="22"/>
          </w:rPr>
          <w:t>68B.32D</w:t>
        </w:r>
      </w:hyperlink>
      <w:r>
        <w:rPr>
          <w:rFonts w:ascii="Times New Roman" w:hAnsi="Times New Roman"/>
          <w:b w:val="false"/>
          <w:i w:val="false"/>
          <w:color w:val="000000"/>
          <w:sz w:val="22"/>
        </w:rPr>
        <w:t>, including as a remedial action the assessment of direct costs related to the hearing for printing, postage, long-distance telephone charges, witness fees, and compensation paid to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9.3(2)</w:t>
      </w:r>
      <w:r>
        <w:rPr>
          <w:rFonts w:ascii="Times New Roman" w:hAnsi="Times New Roman"/>
          <w:b w:val="false"/>
          <w:i w:val="false"/>
          <w:color w:val="000000"/>
          <w:sz w:val="22"/>
        </w:rPr>
        <w:t> </w:t>
      </w:r>
      <w:r>
        <w:rPr>
          <w:rFonts w:ascii="Times New Roman" w:hAnsi="Times New Roman"/>
          <w:b w:val="false"/>
          <w:i/>
          <w:color w:val="000000"/>
          <w:sz w:val="22"/>
        </w:rPr>
        <w:t xml:space="preserve">Administrative resolution. </w:t>
      </w:r>
      <w:r>
        <w:rPr>
          <w:rFonts w:ascii="Times New Roman" w:hAnsi="Times New Roman"/>
          <w:b w:val="false"/>
          <w:i w:val="false"/>
          <w:color w:val="000000"/>
          <w:sz w:val="22"/>
        </w:rPr>
        <w:t xml:space="preserve">Violations may be handled by administrative resolution rather than through the full contested case proceeding process. The board may order administrative resolution by directing that the person take specified remedial action. The board may also order administrative resolution by issuing a letter of reprimand or by imposing a civil penalty as set out in subrule </w:t>
      </w:r>
      <w:hyperlink r:id="rId10">
        <w:r>
          <w:rPr>
            <w:rStyle w:val="Hyperlink"/>
            <w:rFonts w:ascii="Times New Roman" w:hAnsi="Times New Roman"/>
            <w:b w:val="false"/>
            <w:i w:val="false"/>
            <w:color w:val="000000"/>
            <w:sz w:val="22"/>
          </w:rPr>
          <w:t>9.3(7)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9.3(3)</w:t>
      </w:r>
      <w:r>
        <w:rPr>
          <w:rFonts w:ascii="Times New Roman" w:hAnsi="Times New Roman"/>
          <w:b w:val="false"/>
          <w:i w:val="false"/>
          <w:color w:val="000000"/>
          <w:sz w:val="22"/>
        </w:rPr>
        <w:t> </w:t>
      </w:r>
      <w:r>
        <w:rPr>
          <w:rFonts w:ascii="Times New Roman" w:hAnsi="Times New Roman"/>
          <w:b w:val="false"/>
          <w:i/>
          <w:color w:val="000000"/>
          <w:sz w:val="22"/>
        </w:rPr>
        <w:t xml:space="preserve">Response to administrative resolution. </w:t>
      </w:r>
      <w:r>
        <w:rPr>
          <w:rFonts w:ascii="Times New Roman" w:hAnsi="Times New Roman"/>
          <w:b w:val="false"/>
          <w:i w:val="false"/>
          <w:color w:val="000000"/>
          <w:sz w:val="22"/>
        </w:rPr>
        <w:t>A person subject to board discipline may accept administrative resolution. If the person accepts the administrative resolution by complying with the directed remedial action or accepting a letter of reprimand, the matter will be closed. If the person wishes to appeal the administrative resolution, the person will make a written request to the executive director for a contested case proceeding and will submit the request within 30 days of the date of the correspondence informing the person of the board’s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w:t>
      </w:r>
      <w:r>
        <w:rPr>
          <w:rFonts w:ascii="Times New Roman" w:hAnsi="Times New Roman"/>
          <w:b w:val="false"/>
          <w:i w:val="false"/>
          <w:color w:val="000000"/>
          <w:sz w:val="22"/>
        </w:rPr>
        <w:t> </w:t>
      </w:r>
      <w:r>
        <w:rPr>
          <w:rFonts w:ascii="Times New Roman" w:hAnsi="Times New Roman"/>
          <w:b w:val="false"/>
          <w:i/>
          <w:color w:val="000000"/>
          <w:sz w:val="22"/>
        </w:rPr>
        <w:t xml:space="preserve">Statement of charges. </w:t>
      </w:r>
      <w:r>
        <w:rPr>
          <w:rFonts w:ascii="Times New Roman" w:hAnsi="Times New Roman"/>
          <w:b w:val="false"/>
          <w:i w:val="false"/>
          <w:color w:val="000000"/>
          <w:sz w:val="22"/>
        </w:rPr>
        <w:t xml:space="preserve">The board will issue a statement of charges upon timely receipt of a request for a contested case proceeding to appeal an administrative resolution. The contested case will be conducted in accordance with the provisions in Iowa Code chapter </w:t>
      </w:r>
      <w:hyperlink r:id="rId1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The board’s legal counsel will have the burden of proving the violation. Failure to challenge the administrative resolution through a request for a contested case proceeding is a failure to exhaust administrative remedies for purposes of seeking judicial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w:t>
      </w:r>
      <w:r>
        <w:rPr>
          <w:rFonts w:ascii="Times New Roman" w:hAnsi="Times New Roman"/>
          <w:b w:val="false"/>
          <w:i w:val="false"/>
          <w:color w:val="000000"/>
          <w:sz w:val="22"/>
        </w:rPr>
        <w:t> </w:t>
      </w:r>
      <w:r>
        <w:rPr>
          <w:rFonts w:ascii="Times New Roman" w:hAnsi="Times New Roman"/>
          <w:b w:val="false"/>
          <w:i/>
          <w:color w:val="000000"/>
          <w:sz w:val="22"/>
        </w:rPr>
        <w:t xml:space="preserve">Automatic civil penalties. </w:t>
      </w:r>
      <w:r>
        <w:rPr>
          <w:rFonts w:ascii="Times New Roman" w:hAnsi="Times New Roman"/>
          <w:b w:val="false"/>
          <w:i w:val="false"/>
          <w:color w:val="000000"/>
          <w:sz w:val="22"/>
        </w:rPr>
        <w:t>The board may administratively resolve late-filed reports by the assessment of automatic civil penalties, subject to the civil penalty waiver process. The board may retain $10 of any civil penalty that is ultimately not waived by the board or by a court of law as return receipts covering incidental costs such as printing and postage. The remainder of the civil penalty will be deposited in the state general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9.3(6)</w:t>
      </w:r>
      <w:r>
        <w:rPr>
          <w:rFonts w:ascii="Times New Roman" w:hAnsi="Times New Roman"/>
          <w:b w:val="false"/>
          <w:i w:val="false"/>
          <w:color w:val="000000"/>
          <w:sz w:val="22"/>
        </w:rPr>
        <w:t> </w:t>
      </w:r>
      <w:r>
        <w:rPr>
          <w:rFonts w:ascii="Times New Roman" w:hAnsi="Times New Roman"/>
          <w:b w:val="false"/>
          <w:i/>
          <w:color w:val="000000"/>
          <w:sz w:val="22"/>
        </w:rPr>
        <w:t xml:space="preserve">Admonishment. </w:t>
      </w:r>
      <w:r>
        <w:rPr>
          <w:rFonts w:ascii="Times New Roman" w:hAnsi="Times New Roman"/>
          <w:b w:val="false"/>
          <w:i w:val="false"/>
          <w:color w:val="000000"/>
          <w:sz w:val="22"/>
        </w:rPr>
        <w:t>The board may admonish any person who it believes has committed a minor violation to exercise care. An admonishment is not discipline and is not subject to a contested case proceeding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9.3(7)</w:t>
      </w:r>
      <w:r>
        <w:rPr>
          <w:rFonts w:ascii="Times New Roman" w:hAnsi="Times New Roman"/>
          <w:b w:val="false"/>
          <w:i w:val="false"/>
          <w:color w:val="000000"/>
          <w:sz w:val="22"/>
        </w:rPr>
        <w:t> </w:t>
      </w:r>
      <w:r>
        <w:rPr>
          <w:rFonts w:ascii="Times New Roman" w:hAnsi="Times New Roman"/>
          <w:b w:val="false"/>
          <w:i/>
          <w:color w:val="000000"/>
          <w:sz w:val="22"/>
        </w:rPr>
        <w:t xml:space="preserve">Civil penalty for violation. </w:t>
      </w:r>
      <w:r>
        <w:rPr>
          <w:rFonts w:ascii="Times New Roman" w:hAnsi="Times New Roman"/>
          <w:b w:val="false"/>
          <w:i w:val="false"/>
          <w:color w:val="000000"/>
          <w:sz w:val="22"/>
        </w:rPr>
        <w:t xml:space="preserve">If the board determines that probable cause exists to believe that a violation of any statute or rule under its jurisdiction has occurred, except for a late-filed disclosure report, the board may order administrative resolution of the violation by imposing a civil penalty not to exceed $1,000. A person assessed a civil penalty may appeal the decision by requesting within 30 days of the date of the correspondence informing the person of the board’s decision a contested case proceeding to be held under the process set out in subrule </w:t>
      </w:r>
      <w:hyperlink r:id="rId12">
        <w:r>
          <w:rPr>
            <w:rStyle w:val="Hyperlink"/>
            <w:rFonts w:ascii="Times New Roman" w:hAnsi="Times New Roman"/>
            <w:b w:val="false"/>
            <w:i w:val="false"/>
            <w:color w:val="000000"/>
            <w:sz w:val="22"/>
          </w:rPr>
          <w:t>9.3(4)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0240D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351—9.4</w:t>
      </w:r>
      <w:r>
        <w:rPr>
          <w:rFonts w:ascii="Times New Roman" w:hAnsi="Times New Roman"/>
          <w:b/>
          <w:i w:val="false"/>
          <w:color w:val="000000"/>
          <w:sz w:val="22"/>
        </w:rPr>
        <w:t xml:space="preserve">(68B) </w:t>
      </w:r>
      <w:r>
        <w:rPr>
          <w:rFonts w:ascii="Times New Roman" w:hAnsi="Times New Roman"/>
          <w:b/>
          <w:i w:val="false"/>
          <w:color w:val="000000"/>
          <w:sz w:val="22"/>
        </w:rPr>
        <w:t xml:space="preserve">Settlements. </w:t>
      </w:r>
      <w:r>
        <w:rPr>
          <w:rFonts w:ascii="Times New Roman" w:hAnsi="Times New Roman"/>
          <w:b w:val="false"/>
          <w:i w:val="false"/>
          <w:color w:val="000000"/>
          <w:sz w:val="22"/>
        </w:rPr>
        <w:t>Settlements may be negotiated during an investigation or after the commencement of a contested case proceeding. Negotiations will be conducted between the board’s legal counsel and any person subject to the investigation or contested case proceeding or the person’s legal representatives. A settlement will be in writing and is subject to approval of the board. If the board declines to approve a proposed settlement, the settlement will be of no force or effect.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0240D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351—9.5</w:t>
      </w:r>
      <w:r>
        <w:rPr>
          <w:rFonts w:ascii="Times New Roman" w:hAnsi="Times New Roman"/>
          <w:b/>
          <w:i w:val="false"/>
          <w:color w:val="000000"/>
          <w:sz w:val="22"/>
        </w:rPr>
        <w:t xml:space="preserve">(68B) </w:t>
      </w:r>
      <w:r>
        <w:rPr>
          <w:rFonts w:ascii="Times New Roman" w:hAnsi="Times New Roman"/>
          <w:b/>
          <w:i w:val="false"/>
          <w:color w:val="000000"/>
          <w:sz w:val="22"/>
        </w:rPr>
        <w:t xml:space="preserve">Protections for complaints made in good faith.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w:t>
      </w:r>
      <w:r>
        <w:rPr>
          <w:rFonts w:ascii="Times New Roman" w:hAnsi="Times New Roman"/>
          <w:b w:val="false"/>
          <w:i w:val="false"/>
          <w:color w:val="000000"/>
          <w:sz w:val="22"/>
        </w:rPr>
        <w:t> </w:t>
      </w:r>
      <w:r>
        <w:rPr>
          <w:rFonts w:ascii="Times New Roman" w:hAnsi="Times New Roman"/>
          <w:b w:val="false"/>
          <w:i/>
          <w:color w:val="000000"/>
          <w:sz w:val="22"/>
        </w:rPr>
        <w:t xml:space="preserve">Good faith definition. </w:t>
      </w:r>
      <w:r>
        <w:rPr>
          <w:rFonts w:ascii="Times New Roman" w:hAnsi="Times New Roman"/>
          <w:b w:val="false"/>
          <w:i w:val="false"/>
          <w:color w:val="000000"/>
          <w:sz w:val="22"/>
        </w:rPr>
        <w:t xml:space="preserve">For purposes of Iowa Code section </w:t>
      </w:r>
      <w:hyperlink r:id="rId13">
        <w:r>
          <w:rPr>
            <w:rStyle w:val="Hyperlink"/>
            <w:rFonts w:ascii="Times New Roman" w:hAnsi="Times New Roman"/>
            <w:b w:val="false"/>
            <w:i w:val="false"/>
            <w:color w:val="000000"/>
            <w:sz w:val="22"/>
          </w:rPr>
          <w:t>68B.32A(14)</w:t>
        </w:r>
      </w:hyperlink>
      <w:r>
        <w:rPr>
          <w:rFonts w:ascii="Times New Roman" w:hAnsi="Times New Roman"/>
          <w:b w:val="false"/>
          <w:i w:val="false"/>
          <w:color w:val="000000"/>
          <w:sz w:val="22"/>
        </w:rPr>
        <w:t>, “good faith” means that any statements or materials in a complaint, in information provided to the board for a possible board-initiated investigation, or provided in information during the course of a board investigation were made or provided with a reasonable belief that such statements or materials were true and accurate.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w:t>
      </w:r>
      <w:r>
        <w:rPr>
          <w:rFonts w:ascii="Times New Roman" w:hAnsi="Times New Roman"/>
          <w:b w:val="false"/>
          <w:i w:val="false"/>
          <w:color w:val="000000"/>
          <w:sz w:val="22"/>
        </w:rPr>
        <w:t> </w:t>
      </w:r>
      <w:r>
        <w:rPr>
          <w:rFonts w:ascii="Times New Roman" w:hAnsi="Times New Roman"/>
          <w:b w:val="false"/>
          <w:i/>
          <w:color w:val="000000"/>
          <w:sz w:val="22"/>
        </w:rPr>
        <w:t xml:space="preserve">Protections. </w:t>
      </w:r>
      <w:r>
        <w:rPr>
          <w:rFonts w:ascii="Times New Roman" w:hAnsi="Times New Roman"/>
          <w:b w:val="false"/>
          <w:i w:val="false"/>
          <w:color w:val="000000"/>
          <w:sz w:val="22"/>
        </w:rPr>
        <w:t xml:space="preserve">A person who discharges or discriminates against an employee because the employee filed a complaint or provided information during the course of a board investigation may be subject to the board’s complaint process if the employee filed the complaint or provided the information in good faith. If it is determined after a contested case proceeding that a person has impermissibly discharged or discriminated against an employee under this rule, the board may impose sanctions as set out in Iowa Code section </w:t>
      </w:r>
      <w:hyperlink r:id="rId14">
        <w:r>
          <w:rPr>
            <w:rStyle w:val="Hyperlink"/>
            <w:rFonts w:ascii="Times New Roman" w:hAnsi="Times New Roman"/>
            <w:b w:val="false"/>
            <w:i w:val="false"/>
            <w:color w:val="000000"/>
            <w:sz w:val="22"/>
          </w:rPr>
          <w:t>68B.32D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
        <w:r>
          <w:rPr>
            <w:rStyle w:val="Hyperlink"/>
            <w:rFonts w:ascii="Times New Roman" w:hAnsi="Times New Roman"/>
            <w:b w:val="false"/>
            <w:i w:val="false"/>
            <w:color w:val="000000"/>
            <w:sz w:val="22"/>
          </w:rPr>
          <w:t>68B.32A(14)</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68B.32B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0240D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351—9.6</w:t>
      </w:r>
      <w:r>
        <w:rPr>
          <w:rFonts w:ascii="Times New Roman" w:hAnsi="Times New Roman"/>
          <w:b/>
          <w:i w:val="false"/>
          <w:color w:val="000000"/>
          <w:sz w:val="22"/>
        </w:rPr>
        <w:t xml:space="preserve">(68B) </w:t>
      </w:r>
      <w:r>
        <w:rPr>
          <w:rFonts w:ascii="Times New Roman" w:hAnsi="Times New Roman"/>
          <w:b/>
          <w:i w:val="false"/>
          <w:color w:val="000000"/>
          <w:sz w:val="22"/>
        </w:rPr>
        <w:t xml:space="preserve">Providing false information to the board during an investigation. </w:t>
      </w:r>
      <w:r>
        <w:rPr>
          <w:rFonts w:ascii="Times New Roman" w:hAnsi="Times New Roman"/>
          <w:b w:val="false"/>
          <w:i w:val="false"/>
          <w:color w:val="000000"/>
          <w:sz w:val="22"/>
        </w:rPr>
        <w:t xml:space="preserve">A person providing false information to the board during a board investigation of a potential violation of Iowa Code chapter </w:t>
      </w:r>
      <w:hyperlink r:id="rId17">
        <w:r>
          <w:rPr>
            <w:rStyle w:val="Hyperlink"/>
            <w:rFonts w:ascii="Times New Roman" w:hAnsi="Times New Roman"/>
            <w:b w:val="false"/>
            <w:i w:val="false"/>
            <w:color w:val="000000"/>
            <w:sz w:val="22"/>
          </w:rPr>
          <w:t>68A</w:t>
        </w:r>
      </w:hyperlink>
      <w:r>
        <w:rPr>
          <w:rFonts w:ascii="Times New Roman" w:hAnsi="Times New Roman"/>
          <w:b w:val="false"/>
          <w:i w:val="false"/>
          <w:color w:val="000000"/>
          <w:sz w:val="22"/>
        </w:rPr>
        <w:t xml:space="preserve"> or </w:t>
      </w:r>
      <w:hyperlink r:id="rId18">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 xml:space="preserve"> or rules adopted by the board will be subject to the complaint or administrative resolution process as provided under Iowa Code chapter </w:t>
      </w:r>
      <w:hyperlink r:id="rId19">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 xml:space="preserve"> and rule </w:t>
      </w:r>
      <w:hyperlink r:id="rId20">
        <w:r>
          <w:rPr>
            <w:rStyle w:val="Hyperlink"/>
            <w:rFonts w:ascii="Times New Roman" w:hAnsi="Times New Roman"/>
            <w:b w:val="false"/>
            <w:i w:val="false"/>
            <w:color w:val="000000"/>
            <w:sz w:val="22"/>
          </w:rPr>
          <w:t>351—9.3</w:t>
        </w:r>
      </w:hyperlink>
      <w:r>
        <w:rPr>
          <w:rFonts w:ascii="Times New Roman" w:hAnsi="Times New Roman"/>
          <w:b w:val="false"/>
          <w:i w:val="false"/>
          <w:color w:val="000000"/>
          <w:sz w:val="22"/>
        </w:rPr>
        <w:t>(68B). For purposes of this rule, “providing false information” means the intentional providing of a false material statement of fact, falsely denying knowledge of a material fact, or providing a material statement of fact with a reckless disregard for the truth of the statement.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1">
        <w:r>
          <w:rPr>
            <w:rStyle w:val="Hyperlink"/>
            <w:rFonts w:ascii="Times New Roman" w:hAnsi="Times New Roman"/>
            <w:b w:val="false"/>
            <w:i w:val="false"/>
            <w:color w:val="000000"/>
            <w:sz w:val="22"/>
          </w:rPr>
          <w:t>68B.32A</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68B.32B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0240D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23">
        <w:r>
          <w:rPr>
            <w:rStyle w:val="Hyperlink"/>
            <w:rFonts w:ascii="Times New Roman" w:hAnsi="Times New Roman"/>
            <w:b w:val="false"/>
            <w:i w:val="false"/>
            <w:color w:val="000000"/>
            <w:sz w:val="22"/>
          </w:rPr>
          <w:t>68B.32B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July 3, 1974]</w:t>
      </w:r>
    </w:p>
    <w:p>
      <w:pPr>
        <w:spacing w:before="0" w:after="0"/>
        <w:ind w:left="120"/>
        <w:jc w:val="center"/>
      </w:pPr>
      <w:r>
        <w:rPr>
          <w:rFonts w:ascii="Times New Roman" w:hAnsi="Times New Roman"/>
          <w:b w:val="false"/>
          <w:i w:val="false"/>
          <w:color w:val="000000"/>
          <w:sz w:val="21"/>
        </w:rPr>
        <w:t>[Filed 10/28/75, Notice 8/25/75—published 11/17/75, effective 12/22/75]</w:t>
      </w:r>
    </w:p>
    <w:p>
      <w:pPr>
        <w:spacing w:before="0" w:after="0"/>
        <w:ind w:left="120"/>
        <w:jc w:val="center"/>
      </w:pPr>
      <w:r>
        <w:rPr>
          <w:rFonts w:ascii="Times New Roman" w:hAnsi="Times New Roman"/>
          <w:b w:val="false"/>
          <w:i w:val="false"/>
          <w:color w:val="000000"/>
          <w:sz w:val="21"/>
        </w:rPr>
        <w:t>[Filed emergency 2/11/76—published 3/8/76, effective 2/11/76]</w:t>
      </w:r>
    </w:p>
    <w:p>
      <w:pPr>
        <w:spacing w:before="0" w:after="0"/>
        <w:ind w:left="120"/>
        <w:jc w:val="center"/>
      </w:pPr>
      <w:r>
        <w:rPr>
          <w:rFonts w:ascii="Times New Roman" w:hAnsi="Times New Roman"/>
          <w:b w:val="false"/>
          <w:i w:val="false"/>
          <w:color w:val="000000"/>
          <w:sz w:val="21"/>
        </w:rPr>
        <w:t>[Filed emergency 4/1/76—published 4/19/76, effective 4/1/76]</w:t>
      </w:r>
    </w:p>
    <w:p>
      <w:pPr>
        <w:spacing w:before="0" w:after="0"/>
        <w:ind w:left="120"/>
        <w:jc w:val="center"/>
      </w:pPr>
      <w:r>
        <w:rPr>
          <w:rFonts w:ascii="Times New Roman" w:hAnsi="Times New Roman"/>
          <w:b w:val="false"/>
          <w:i w:val="false"/>
          <w:color w:val="000000"/>
          <w:sz w:val="21"/>
        </w:rPr>
        <w:t>[Filed 11/6/81, Notice 9/30/81—published 11/25/81, effective 1/1/82]</w:t>
      </w:r>
    </w:p>
    <w:p>
      <w:pPr>
        <w:spacing w:before="0" w:after="0"/>
        <w:ind w:left="120"/>
        <w:jc w:val="center"/>
      </w:pPr>
      <w:r>
        <w:rPr>
          <w:rFonts w:ascii="Times New Roman" w:hAnsi="Times New Roman"/>
          <w:b w:val="false"/>
          <w:i w:val="false"/>
          <w:color w:val="000000"/>
          <w:sz w:val="21"/>
        </w:rPr>
        <w:t>[Filed 8/21/87, Notice 6/17/87—published 9/9/87, effective 10/14/87]</w:t>
      </w:r>
    </w:p>
    <w:p>
      <w:pPr>
        <w:spacing w:before="0" w:after="0"/>
        <w:ind w:left="120"/>
        <w:jc w:val="center"/>
      </w:pPr>
      <w:r>
        <w:rPr>
          <w:rFonts w:ascii="Times New Roman" w:hAnsi="Times New Roman"/>
          <w:b w:val="false"/>
          <w:i w:val="false"/>
          <w:color w:val="000000"/>
          <w:sz w:val="21"/>
        </w:rPr>
        <w:t>[Filed 4/23/92, Notice 2/19/92—published 5/13/92, effective 6/17/92]</w:t>
      </w:r>
    </w:p>
    <w:p>
      <w:pPr>
        <w:spacing w:before="0" w:after="0"/>
        <w:ind w:left="120"/>
        <w:jc w:val="center"/>
      </w:pPr>
      <w:r>
        <w:rPr>
          <w:rFonts w:ascii="Times New Roman" w:hAnsi="Times New Roman"/>
          <w:b w:val="false"/>
          <w:i w:val="false"/>
          <w:color w:val="000000"/>
          <w:sz w:val="21"/>
        </w:rPr>
        <w:t>[Filed 9/23/93, Notice 4/28/93—published 10/13/93, effective 11/17/93]</w:t>
      </w:r>
    </w:p>
    <w:p>
      <w:pPr>
        <w:spacing w:before="0" w:after="0"/>
        <w:ind w:left="120"/>
        <w:jc w:val="center"/>
      </w:pPr>
      <w:r>
        <w:rPr>
          <w:rFonts w:ascii="Times New Roman" w:hAnsi="Times New Roman"/>
          <w:b w:val="false"/>
          <w:i w:val="false"/>
          <w:color w:val="000000"/>
          <w:sz w:val="21"/>
        </w:rPr>
        <w:t>[Filed 3/11/94, Notice 1/5/94—published 3/30/94, effective 5/4/94]</w:t>
      </w:r>
    </w:p>
    <w:p>
      <w:pPr>
        <w:spacing w:before="0" w:after="0"/>
        <w:ind w:left="120"/>
        <w:jc w:val="center"/>
      </w:pPr>
      <w:r>
        <w:rPr>
          <w:rFonts w:ascii="Times New Roman" w:hAnsi="Times New Roman"/>
          <w:b w:val="false"/>
          <w:i w:val="false"/>
          <w:color w:val="000000"/>
          <w:sz w:val="21"/>
        </w:rPr>
        <w:t>[Filed 7/29/94, Notice 5/25/94—published 8/17/94, effective 9/21/94]</w:t>
      </w:r>
    </w:p>
    <w:p>
      <w:pPr>
        <w:spacing w:before="0" w:after="0"/>
        <w:ind w:left="120"/>
        <w:jc w:val="center"/>
      </w:pPr>
      <w:r>
        <w:rPr>
          <w:rFonts w:ascii="Times New Roman" w:hAnsi="Times New Roman"/>
          <w:b w:val="false"/>
          <w:i w:val="false"/>
          <w:color w:val="000000"/>
          <w:sz w:val="21"/>
        </w:rPr>
        <w:t>[Filed 12/1/95, Notice 10/25/95—published 12/20/95, effective 1/24/96]</w:t>
      </w:r>
    </w:p>
    <w:p>
      <w:pPr>
        <w:spacing w:before="0" w:after="0"/>
        <w:ind w:left="120"/>
        <w:jc w:val="center"/>
      </w:pPr>
      <w:r>
        <w:rPr>
          <w:rFonts w:ascii="Times New Roman" w:hAnsi="Times New Roman"/>
          <w:b w:val="false"/>
          <w:i w:val="false"/>
          <w:color w:val="000000"/>
          <w:sz w:val="21"/>
        </w:rPr>
        <w:t>[Filed 3/3/99, Notice 1/13/99—published 3/24/99, effective 4/28/99]</w:t>
      </w:r>
    </w:p>
    <w:p>
      <w:pPr>
        <w:spacing w:before="0" w:after="0"/>
        <w:ind w:left="120"/>
        <w:jc w:val="center"/>
      </w:pPr>
      <w:r>
        <w:rPr>
          <w:rFonts w:ascii="Times New Roman" w:hAnsi="Times New Roman"/>
          <w:b w:val="false"/>
          <w:i w:val="false"/>
          <w:color w:val="000000"/>
          <w:sz w:val="21"/>
        </w:rPr>
        <w:t>[Filed 8/1/02, Notice 6/26/02—published 8/21/02, effective 9/25/02]</w:t>
      </w:r>
    </w:p>
    <w:p>
      <w:pPr>
        <w:spacing w:before="0" w:after="0"/>
        <w:ind w:left="120"/>
        <w:jc w:val="center"/>
      </w:pPr>
      <w:r>
        <w:rPr>
          <w:rFonts w:ascii="Times New Roman" w:hAnsi="Times New Roman"/>
          <w:b w:val="false"/>
          <w:i w:val="false"/>
          <w:color w:val="000000"/>
          <w:sz w:val="21"/>
        </w:rPr>
        <w:t>[Filed 8/28/03, Notice 7/23/03—published 9/17/03, effective 10/22/03]</w:t>
      </w:r>
    </w:p>
    <w:p>
      <w:pPr>
        <w:spacing w:before="0" w:after="0"/>
        <w:ind w:left="120"/>
        <w:jc w:val="center"/>
      </w:pPr>
      <w:r>
        <w:rPr>
          <w:rFonts w:ascii="Times New Roman" w:hAnsi="Times New Roman"/>
          <w:b w:val="false"/>
          <w:i w:val="false"/>
          <w:color w:val="000000"/>
          <w:sz w:val="21"/>
        </w:rPr>
        <w:t>[Filed 1/28/05, Notice 11/10/04—published 2/16/05, effective 3/23/05]</w:t>
      </w:r>
    </w:p>
    <w:p>
      <w:pPr>
        <w:spacing w:before="0" w:after="0"/>
        <w:ind w:left="120"/>
        <w:jc w:val="center"/>
      </w:pPr>
      <w:r>
        <w:rPr>
          <w:rFonts w:ascii="Times New Roman" w:hAnsi="Times New Roman"/>
          <w:b w:val="false"/>
          <w:i w:val="false"/>
          <w:color w:val="000000"/>
          <w:sz w:val="21"/>
        </w:rPr>
        <w:t>[Filed 9/25/06, Notice 8/2/06—published 10/25/06, effective 11/29/06]</w:t>
      </w:r>
    </w:p>
    <w:p>
      <w:pPr>
        <w:spacing w:before="0" w:after="0"/>
        <w:ind w:left="120"/>
        <w:jc w:val="center"/>
      </w:pPr>
      <w:r>
        <w:rPr>
          <w:rFonts w:ascii="Times New Roman" w:hAnsi="Times New Roman"/>
          <w:b w:val="false"/>
          <w:i w:val="false"/>
          <w:color w:val="000000"/>
          <w:sz w:val="21"/>
        </w:rPr>
        <w:t>[Filed 4/2/08, Notice 2/13/08—published 4/23/08, effective 5/28/08]</w:t>
      </w:r>
    </w:p>
    <w:p>
      <w:pPr>
        <w:spacing w:before="0" w:after="0"/>
        <w:ind w:left="120"/>
        <w:jc w:val="center"/>
      </w:pPr>
      <w:r>
        <w:rPr>
          <w:rFonts w:ascii="Times New Roman" w:hAnsi="Times New Roman"/>
          <w:b w:val="false"/>
          <w:i w:val="false"/>
          <w:color w:val="000000"/>
          <w:sz w:val="21"/>
        </w:rPr>
        <w:t>[Editorial change: IAC Supplement 4/8/09]</w:t>
      </w:r>
    </w:p>
    <w:p>
      <w:pPr>
        <w:spacing w:before="0" w:after="0"/>
        <w:ind w:left="120"/>
        <w:jc w:val="center"/>
      </w:pPr>
      <w:r>
        <w:rPr>
          <w:rFonts w:ascii="Times New Roman" w:hAnsi="Times New Roman"/>
          <w:b w:val="false"/>
          <w:i w:val="false"/>
          <w:color w:val="000000"/>
          <w:sz w:val="21"/>
        </w:rPr>
        <w:t>[Filed ARC 7993B</w:t>
      </w:r>
      <w:r>
        <w:rPr>
          <w:rFonts w:ascii="Times New Roman" w:hAnsi="Times New Roman"/>
          <w:b w:val="false"/>
          <w:i w:val="false"/>
          <w:color w:val="000000"/>
          <w:sz w:val="21"/>
        </w:rPr>
        <w:t xml:space="preserve"> (Notice ARC 7808B, IAB 6/3/09)</w:t>
      </w:r>
      <w:r>
        <w:rPr>
          <w:rFonts w:ascii="Times New Roman" w:hAnsi="Times New Roman"/>
          <w:b w:val="false"/>
          <w:i w:val="false"/>
          <w:color w:val="000000"/>
          <w:sz w:val="21"/>
        </w:rPr>
        <w:t>, IAB 7/29/09, effective 9/2/09]</w:t>
      </w:r>
      <w:r>
        <w:br/>
      </w:r>
      <w:r>
        <w:rPr>
          <w:rFonts w:ascii="Times New Roman" w:hAnsi="Times New Roman"/>
          <w:b w:val="false"/>
          <w:i w:val="false"/>
          <w:color w:val="000000"/>
          <w:sz w:val="21"/>
        </w:rPr>
        <w:t>[Filed ARC 7991B</w:t>
      </w:r>
      <w:r>
        <w:rPr>
          <w:rFonts w:ascii="Times New Roman" w:hAnsi="Times New Roman"/>
          <w:b w:val="false"/>
          <w:i w:val="false"/>
          <w:color w:val="000000"/>
          <w:sz w:val="21"/>
        </w:rPr>
        <w:t xml:space="preserve"> (Notice ARC 7810B, IAB 6/3/09)</w:t>
      </w:r>
      <w:r>
        <w:rPr>
          <w:rFonts w:ascii="Times New Roman" w:hAnsi="Times New Roman"/>
          <w:b w:val="false"/>
          <w:i w:val="false"/>
          <w:color w:val="000000"/>
          <w:sz w:val="21"/>
        </w:rPr>
        <w:t>, IAB 7/29/09, effective 9/2/09]</w:t>
      </w:r>
    </w:p>
    <w:p>
      <w:pPr>
        <w:spacing w:before="0" w:after="0"/>
        <w:ind w:left="120"/>
        <w:jc w:val="center"/>
      </w:pPr>
      <w:r>
        <w:rPr>
          <w:rFonts w:ascii="Times New Roman" w:hAnsi="Times New Roman"/>
          <w:b w:val="false"/>
          <w:i w:val="false"/>
          <w:color w:val="000000"/>
          <w:sz w:val="21"/>
        </w:rPr>
        <w:t>[Filed ARC 9037B</w:t>
      </w:r>
      <w:r>
        <w:rPr>
          <w:rFonts w:ascii="Times New Roman" w:hAnsi="Times New Roman"/>
          <w:b w:val="false"/>
          <w:i w:val="false"/>
          <w:color w:val="000000"/>
          <w:sz w:val="21"/>
        </w:rPr>
        <w:t xml:space="preserve"> (Notice ARC 8803B, IAB 6/2/10)</w:t>
      </w:r>
      <w:r>
        <w:rPr>
          <w:rFonts w:ascii="Times New Roman" w:hAnsi="Times New Roman"/>
          <w:b w:val="false"/>
          <w:i w:val="false"/>
          <w:color w:val="000000"/>
          <w:sz w:val="21"/>
        </w:rPr>
        <w:t>, IAB 8/25/10, effective 9/29/10]</w:t>
      </w:r>
    </w:p>
    <w:p>
      <w:pPr>
        <w:spacing w:before="0" w:after="0"/>
        <w:ind w:left="120"/>
        <w:jc w:val="center"/>
      </w:pPr>
      <w:r>
        <w:rPr>
          <w:rFonts w:ascii="Times New Roman" w:hAnsi="Times New Roman"/>
          <w:b w:val="false"/>
          <w:i w:val="false"/>
          <w:color w:val="000000"/>
          <w:sz w:val="21"/>
        </w:rPr>
        <w:t>[Filed ARC 1389C</w:t>
      </w:r>
      <w:r>
        <w:rPr>
          <w:rFonts w:ascii="Times New Roman" w:hAnsi="Times New Roman"/>
          <w:b w:val="false"/>
          <w:i w:val="false"/>
          <w:color w:val="000000"/>
          <w:sz w:val="21"/>
        </w:rPr>
        <w:t xml:space="preserve"> (Notice ARC 1019C, IAB 9/18/13)</w:t>
      </w:r>
      <w:r>
        <w:rPr>
          <w:rFonts w:ascii="Times New Roman" w:hAnsi="Times New Roman"/>
          <w:b w:val="false"/>
          <w:i w:val="false"/>
          <w:color w:val="000000"/>
          <w:sz w:val="21"/>
        </w:rPr>
        <w:t>, IAB 4/2/14, effective 5/7/14]</w:t>
      </w:r>
    </w:p>
    <w:p>
      <w:pPr>
        <w:spacing w:before="0" w:after="0"/>
        <w:ind w:left="120"/>
        <w:jc w:val="center"/>
      </w:pPr>
      <w:r>
        <w:rPr>
          <w:rFonts w:ascii="Times New Roman" w:hAnsi="Times New Roman"/>
          <w:b w:val="false"/>
          <w:i w:val="false"/>
          <w:color w:val="000000"/>
          <w:sz w:val="21"/>
        </w:rPr>
        <w:t>[Filed ARC 0240D</w:t>
      </w:r>
      <w:r>
        <w:rPr>
          <w:rFonts w:ascii="Times New Roman" w:hAnsi="Times New Roman"/>
          <w:b w:val="false"/>
          <w:i w:val="false"/>
          <w:color w:val="000000"/>
          <w:sz w:val="21"/>
        </w:rPr>
        <w:t xml:space="preserve"> (Notice ARC 0096D, IAB 3/4/26)</w:t>
      </w:r>
      <w:r>
        <w:rPr>
          <w:rFonts w:ascii="Times New Roman" w:hAnsi="Times New Roman"/>
          <w:b w:val="false"/>
          <w:i w:val="false"/>
          <w:color w:val="000000"/>
          <w:sz w:val="21"/>
        </w:rPr>
        <w:t>, IAB 4/29/26, effective 6/3/26]</w:t>
      </w:r>
    </w:p>
    <w:sectPr>
      <w:footerReference r:id="rId2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68B.32B.pdf" Type="http://schemas.openxmlformats.org/officeDocument/2006/relationships/hyperlink" Id="rId5"/>
    <Relationship TargetMode="External" Target="https://www.legis.iowa.gov/docs/ico/chapter/68B.32B.pdf" Type="http://schemas.openxmlformats.org/officeDocument/2006/relationships/hyperlink" Id="rId6"/>
    <Relationship TargetMode="External" Target="https://www.legis.iowa.gov/docs/ico/chapter/68B.32B.pdf" Type="http://schemas.openxmlformats.org/officeDocument/2006/relationships/hyperlink" Id="rId7"/>
    <Relationship TargetMode="External" Target="https://www.legis.iowa.gov/docs/iac/rule/351.9.3.pdf" Type="http://schemas.openxmlformats.org/officeDocument/2006/relationships/hyperlink" Id="rId8"/>
    <Relationship TargetMode="External" Target="https://www.legis.iowa.gov/docs/ico/chapter/68B.32D.pdf" Type="http://schemas.openxmlformats.org/officeDocument/2006/relationships/hyperlink" Id="rId9"/>
    <Relationship TargetMode="External" Target="https://www.legis.iowa.gov/docs/iac/rule/351.9.3.pdf" Type="http://schemas.openxmlformats.org/officeDocument/2006/relationships/hyperlink" Id="rId10"/>
    <Relationship TargetMode="External" Target="https://www.legis.iowa.gov/docs/ico/chapter/17A.pdf" Type="http://schemas.openxmlformats.org/officeDocument/2006/relationships/hyperlink" Id="rId11"/>
    <Relationship TargetMode="External" Target="https://www.legis.iowa.gov/docs/iac/rule/351.9.3.pdf" Type="http://schemas.openxmlformats.org/officeDocument/2006/relationships/hyperlink" Id="rId12"/>
    <Relationship TargetMode="External" Target="https://www.legis.iowa.gov/docs/ico/chapter/68B.32A.pdf" Type="http://schemas.openxmlformats.org/officeDocument/2006/relationships/hyperlink" Id="rId13"/>
    <Relationship TargetMode="External" Target="https://www.legis.iowa.gov/docs/ico/chapter/68B.32D.pdf" Type="http://schemas.openxmlformats.org/officeDocument/2006/relationships/hyperlink" Id="rId14"/>
    <Relationship TargetMode="External" Target="https://www.legis.iowa.gov/docs/ico/chapter/68B.32A.pdf" Type="http://schemas.openxmlformats.org/officeDocument/2006/relationships/hyperlink" Id="rId15"/>
    <Relationship TargetMode="External" Target="https://www.legis.iowa.gov/docs/ico/chapter/68B.32B.pdf" Type="http://schemas.openxmlformats.org/officeDocument/2006/relationships/hyperlink" Id="rId16"/>
    <Relationship TargetMode="External" Target="https://www.legis.iowa.gov/docs/ico/chapter/68A.pdf" Type="http://schemas.openxmlformats.org/officeDocument/2006/relationships/hyperlink" Id="rId17"/>
    <Relationship TargetMode="External" Target="https://www.legis.iowa.gov/docs/ico/chapter/68B.pdf" Type="http://schemas.openxmlformats.org/officeDocument/2006/relationships/hyperlink" Id="rId18"/>
    <Relationship TargetMode="External" Target="https://www.legis.iowa.gov/docs/ico/chapter/68B.pdf" Type="http://schemas.openxmlformats.org/officeDocument/2006/relationships/hyperlink" Id="rId19"/>
    <Relationship TargetMode="External" Target="https://www.legis.iowa.gov/docs/iac/rule/351.9.3.pdf" Type="http://schemas.openxmlformats.org/officeDocument/2006/relationships/hyperlink" Id="rId20"/>
    <Relationship TargetMode="External" Target="https://www.legis.iowa.gov/docs/ico/chapter/68B.32A.pdf" Type="http://schemas.openxmlformats.org/officeDocument/2006/relationships/hyperlink" Id="rId21"/>
    <Relationship TargetMode="External" Target="https://www.legis.iowa.gov/docs/ico/chapter/68B.32B.pdf" Type="http://schemas.openxmlformats.org/officeDocument/2006/relationships/hyperlink" Id="rId22"/>
    <Relationship TargetMode="External" Target="https://www.legis.iowa.gov/docs/ico/chapter/68B.32B.pdf" Type="http://schemas.openxmlformats.org/officeDocument/2006/relationships/hyperlink" Id="rId23"/>
    <Relationship Target="footer.xml" Type="http://schemas.openxmlformats.org/officeDocument/2006/relationships/footer" Id="rId2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