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EXECUTIVE BRANCH LOBBYING</w:t>
      </w:r>
    </w:p>
    <w:p>
      <w:pPr>
        <w:spacing w:before="0" w:after="0"/>
        <w:ind w:left="120"/>
        <w:jc w:val="center"/>
      </w:pPr>
      <w:r>
        <w:rPr>
          <w:rFonts w:ascii="Times New Roman" w:hAnsi="Times New Roman"/>
          <w:b w:val="false"/>
          <w:i w:val="false"/>
          <w:color w:val="000000"/>
          <w:sz w:val="14"/>
        </w:rPr>
        <w:t>[Prior to 11/26/03, see 351—Ch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spacing w:before="0" w:after="0"/>
        <w:ind w:left="120"/>
        <w:jc w:val="both"/>
      </w:pPr>
      <w:r>
        <w:rPr>
          <w:rFonts w:ascii="Times New Roman" w:hAnsi="Times New Roman"/>
          <w:b/>
          <w:i w:val="false"/>
          <w:color w:val="000000"/>
          <w:sz w:val="22"/>
        </w:rPr>
        <w:t>351—8.1</w:t>
      </w:r>
      <w:r>
        <w:rPr>
          <w:rFonts w:ascii="Times New Roman" w:hAnsi="Times New Roman"/>
          <w:b/>
          <w:i w:val="false"/>
          <w:color w:val="000000"/>
          <w:sz w:val="22"/>
        </w:rPr>
        <w:t xml:space="preserve">(68B)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branch lobbying”</w:t>
      </w:r>
      <w:r>
        <w:rPr>
          <w:rFonts w:ascii="Times New Roman" w:hAnsi="Times New Roman"/>
          <w:b w:val="false"/>
          <w:i w:val="false"/>
          <w:color w:val="000000"/>
          <w:sz w:val="22"/>
        </w:rPr>
        <w:t> </w:t>
      </w:r>
      <w:r>
        <w:rPr>
          <w:rFonts w:ascii="Times New Roman" w:hAnsi="Times New Roman"/>
          <w:b w:val="false"/>
          <w:i w:val="false"/>
          <w:color w:val="000000"/>
          <w:sz w:val="22"/>
        </w:rPr>
        <w:t>means acting directly to encourage the passage, defeat, approval, veto, or modification of legislation, a rule, or an executive order by a state agency or any statewide elected official. For purposes of this chapter, “state agency” does not include the legislative branch of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branch lobbyist”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by acting directly does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Receives compensation for engaging in executive branch lobbying.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designated representative of an organization that has as one of its purposes engaging in executive branch lobbying.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Represents the position of a federal, state, or local agency in which the person serves or is employed as the representative designated to engage in executive branch lobbying.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Makes expenditures of more than $1,000 in a calendar year to communicate in person for the purpose of engaging in executive branch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branch lobbyist client”</w:t>
      </w:r>
      <w:r>
        <w:rPr>
          <w:rFonts w:ascii="Times New Roman" w:hAnsi="Times New Roman"/>
          <w:b w:val="false"/>
          <w:i w:val="false"/>
          <w:color w:val="000000"/>
          <w:sz w:val="22"/>
        </w:rPr>
        <w:t> </w:t>
      </w:r>
      <w:r>
        <w:rPr>
          <w:rFonts w:ascii="Times New Roman" w:hAnsi="Times New Roman"/>
          <w:b w:val="false"/>
          <w:i w:val="false"/>
          <w:color w:val="000000"/>
          <w:sz w:val="22"/>
        </w:rPr>
        <w:t>means a private person or a federal, state, or local governmental entity that pays compensation to or designates an individual to be a lobbyist before the executive branch.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“Lobbyist compensation”</w:t>
      </w:r>
      <w:r>
        <w:rPr>
          <w:rFonts w:ascii="Times New Roman" w:hAnsi="Times New Roman"/>
          <w:b w:val="false"/>
          <w:i w:val="false"/>
          <w:color w:val="000000"/>
          <w:sz w:val="22"/>
        </w:rPr>
        <w:t> </w:t>
      </w:r>
      <w:r>
        <w:rPr>
          <w:rFonts w:ascii="Times New Roman" w:hAnsi="Times New Roman"/>
          <w:b w:val="false"/>
          <w:i w:val="false"/>
          <w:color w:val="000000"/>
          <w:sz w:val="22"/>
        </w:rPr>
        <w:t>means any money, thing of value, or financial benefit conferred in return for engaging in executive branch lobbying.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individuals are not considered to be executive branch lobbyists: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Officials and employees of a political party that is organized in the state of Iowa and that meets the requirements of Iowa Code section </w:t>
      </w:r>
      <w:hyperlink r:id="rId5">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when the officials and employees represent the political party in an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news media only when engaged in the reporting and dissemination of news and editorials.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federal, state, and local elected officials, while performing the duties and responsibilities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whose activities are limited to appearances to give testimony or provide information or assistance at public hearings of state agencies or who are giving testimony or providing information or assistance at the request of public officials or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 of the staff of the United States Congress or the Iowa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Agency officials and employees while they are engaged in activities within the agency in which they serve or are employed or with another agency within which an official’s or employee’s agency is involved in a collaborative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individual who is a member, director, trustee, officer, or committee member of a business, trade, labor, farm, professional, religious, education, or charitable association, foundation, or organization who is not paid compensation and is not specifically designated as an executive branch lobbyist.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whose activities are limited to submitting data, views, or arguments in writing, or requesting an opportunity to make an oral presentation under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Individuals whose activities are limited to monitoring or following the progress of legislation, a rule, or an executive order, but who do not engage in executive branch lobbying.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Individuals who represent a client in responding to a request for proposal or otherwise receiving a contract or grant from a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Individuals who represent a client involved in a legal dispute with the state, including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Individuals advocating for or against the appointment of a particular individual to a board or commission of the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68B.2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351—8.2</w:t>
      </w:r>
      <w:r>
        <w:rPr>
          <w:rFonts w:ascii="Times New Roman" w:hAnsi="Times New Roman"/>
          <w:b/>
          <w:i w:val="false"/>
          <w:color w:val="000000"/>
          <w:sz w:val="22"/>
        </w:rPr>
        <w:t xml:space="preserve">(68B) </w:t>
      </w:r>
      <w:r>
        <w:rPr>
          <w:rFonts w:ascii="Times New Roman" w:hAnsi="Times New Roman"/>
          <w:b/>
          <w:i w:val="false"/>
          <w:color w:val="000000"/>
          <w:sz w:val="22"/>
        </w:rPr>
        <w:t xml:space="preserve">Individuals not considered executive branch lobbyists. </w:t>
      </w:r>
      <w:r>
        <w:rPr>
          <w:rFonts w:ascii="Times New Roman" w:hAnsi="Times New Roman"/>
          <w:b w:val="false"/>
          <w:i w:val="false"/>
          <w:color w:val="000000"/>
          <w:sz w:val="22"/>
        </w:rPr>
        <w:t>Individuals uncertain as to whether they are considered executive branch lobbyists should contact the board for guidance prior to engaging in any executive branch lobbying.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68B.2(13)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351—8.3</w:t>
      </w:r>
      <w:r>
        <w:rPr>
          <w:rFonts w:ascii="Times New Roman" w:hAnsi="Times New Roman"/>
          <w:b/>
          <w:i w:val="false"/>
          <w:color w:val="000000"/>
          <w:sz w:val="22"/>
        </w:rPr>
        <w:t xml:space="preserve">(68B) </w:t>
      </w:r>
      <w:r>
        <w:rPr>
          <w:rFonts w:ascii="Times New Roman" w:hAnsi="Times New Roman"/>
          <w:b/>
          <w:i w:val="false"/>
          <w:color w:val="000000"/>
          <w:sz w:val="22"/>
        </w:rPr>
        <w:t xml:space="preserve">Contingency fee lobbying prohibited. </w:t>
      </w:r>
      <w:r>
        <w:rPr>
          <w:rFonts w:ascii="Times New Roman" w:hAnsi="Times New Roman"/>
          <w:b w:val="false"/>
          <w:i w:val="false"/>
          <w:color w:val="000000"/>
          <w:sz w:val="22"/>
        </w:rPr>
        <w:t>No person will offer, nor will any person accept, compensation contingent upon the outcome of executive branch lobbying services rendered or to be rendered. Complaints or information alleging a violation of this rule will be filed with the board.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68B.2(7)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351—8.4</w:t>
      </w:r>
      <w:r>
        <w:rPr>
          <w:rFonts w:ascii="Times New Roman" w:hAnsi="Times New Roman"/>
          <w:b/>
          <w:i w:val="false"/>
          <w:color w:val="000000"/>
          <w:sz w:val="22"/>
        </w:rPr>
        <w:t xml:space="preserve">(68B) </w:t>
      </w:r>
      <w:r>
        <w:rPr>
          <w:rFonts w:ascii="Times New Roman" w:hAnsi="Times New Roman"/>
          <w:b/>
          <w:i w:val="false"/>
          <w:color w:val="000000"/>
          <w:sz w:val="22"/>
        </w:rPr>
        <w:t xml:space="preserve">Lobbyist registration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Any individual engaging in executive branch lobbying activity will register by electronically filing an executive branch lobbyist registration statement with the chief clerk of the house of representatives or the secretary of the senate on or before the day the lobbying activity begins. Registration expires at the end of the calendar year. Beginning December 1 of each year, a person may register to lobby for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Executive branch lobbyist registration statements will be electronically filed with the chief clerk of the house of representatives or the secretary of the senate through the general assembly’s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change or addition to the information in an executive branch lobbyist’s registration statement will be filed with the chief clerk of the house of representatives or the secretary of the senate within ten days after the change or addition is made known to the lobbyist. The lobbyist may file changes or additions by electronically filing an amended registration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file. </w:t>
      </w:r>
      <w:r>
        <w:rPr>
          <w:rFonts w:ascii="Times New Roman" w:hAnsi="Times New Roman"/>
          <w:b w:val="false"/>
          <w:i w:val="false"/>
          <w:color w:val="000000"/>
          <w:sz w:val="22"/>
        </w:rPr>
        <w:t xml:space="preserve">An individual who fails to file an executive branch lobbyist registration statement before engaging in executive branch lobbying will be subject to sanctions by the board as permitted under Iowa Code chapter </w:t>
      </w:r>
      <w:hyperlink r:id="rId10">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351—9.3</w:t>
        </w:r>
      </w:hyperlink>
      <w:r>
        <w:rPr>
          <w:rFonts w:ascii="Times New Roman" w:hAnsi="Times New Roman"/>
          <w:b w:val="false"/>
          <w:i w:val="false"/>
          <w:color w:val="000000"/>
          <w:sz w:val="22"/>
        </w:rPr>
        <w:t>(68B) separate to any sanctions imposed by the general assembly.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68B.36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351—8.5</w:t>
      </w:r>
      <w:r>
        <w:rPr>
          <w:rFonts w:ascii="Times New Roman" w:hAnsi="Times New Roman"/>
          <w:b/>
          <w:i w:val="false"/>
          <w:color w:val="000000"/>
          <w:sz w:val="22"/>
        </w:rPr>
        <w:t xml:space="preserve">(68B) </w:t>
      </w:r>
      <w:r>
        <w:rPr>
          <w:rFonts w:ascii="Times New Roman" w:hAnsi="Times New Roman"/>
          <w:b/>
          <w:i w:val="false"/>
          <w:color w:val="000000"/>
          <w:sz w:val="22"/>
        </w:rPr>
        <w:t xml:space="preserve">Executive branch lobbyist client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Executive branch lobbyist client reports will be electronically filed with the general assembly through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An executive branch lobbyist client report will be filed on or before July 31 unless the due date is extended by the general assembly.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68B.38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351—8.6</w:t>
      </w:r>
      <w:r>
        <w:rPr>
          <w:rFonts w:ascii="Times New Roman" w:hAnsi="Times New Roman"/>
          <w:b/>
          <w:i w:val="false"/>
          <w:color w:val="000000"/>
          <w:sz w:val="22"/>
        </w:rPr>
        <w:t xml:space="preserve">(68B) </w:t>
      </w:r>
      <w:r>
        <w:rPr>
          <w:rFonts w:ascii="Times New Roman" w:hAnsi="Times New Roman"/>
          <w:b/>
          <w:i w:val="false"/>
          <w:color w:val="000000"/>
          <w:sz w:val="22"/>
        </w:rPr>
        <w:t xml:space="preserve">Session function registrations and reports. </w:t>
      </w:r>
      <w:r>
        <w:rPr>
          <w:rFonts w:ascii="Times New Roman" w:hAnsi="Times New Roman"/>
          <w:b w:val="false"/>
          <w:i w:val="false"/>
          <w:color w:val="000000"/>
          <w:sz w:val="22"/>
        </w:rPr>
        <w:t xml:space="preserve">Pursuant to Iowa Code section </w:t>
      </w:r>
      <w:hyperlink r:id="rId14">
        <w:r>
          <w:rPr>
            <w:rStyle w:val="Hyperlink"/>
            <w:rFonts w:ascii="Times New Roman" w:hAnsi="Times New Roman"/>
            <w:b w:val="false"/>
            <w:i w:val="false"/>
            <w:color w:val="000000"/>
            <w:sz w:val="22"/>
          </w:rPr>
          <w:t>68B.22(4)</w:t>
        </w:r>
      </w:hyperlink>
      <w:r>
        <w:rPr>
          <w:rFonts w:ascii="Times New Roman" w:hAnsi="Times New Roman"/>
          <w:b w:val="false"/>
          <w:i/>
          <w:color w:val="000000"/>
          <w:sz w:val="22"/>
        </w:rPr>
        <w:t>“s,”</w:t>
      </w:r>
      <w:r>
        <w:rPr>
          <w:rFonts w:ascii="Times New Roman" w:hAnsi="Times New Roman"/>
          <w:b w:val="false"/>
          <w:i w:val="false"/>
          <w:color w:val="000000"/>
          <w:sz w:val="22"/>
        </w:rPr>
        <w:t xml:space="preserve"> a sponsor of a qualified function is required to file with the general assembly a registration notice prior to the function and a report within 28 days of the function. The board will deem filings with the general assembly as acceptable filings with the board. The failure of a sponsor to timely file either a registration notice or a report will subject the sponsor to sanctions by the board as permitted under Iowa Code chapter </w:t>
      </w:r>
      <w:hyperlink r:id="rId15">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16">
        <w:r>
          <w:rPr>
            <w:rStyle w:val="Hyperlink"/>
            <w:rFonts w:ascii="Times New Roman" w:hAnsi="Times New Roman"/>
            <w:b w:val="false"/>
            <w:i w:val="false"/>
            <w:color w:val="000000"/>
            <w:sz w:val="22"/>
          </w:rPr>
          <w:t>351—9.3</w:t>
        </w:r>
      </w:hyperlink>
      <w:r>
        <w:rPr>
          <w:rFonts w:ascii="Times New Roman" w:hAnsi="Times New Roman"/>
          <w:b w:val="false"/>
          <w:i w:val="false"/>
          <w:color w:val="000000"/>
          <w:sz w:val="22"/>
        </w:rPr>
        <w:t>(68B) separate from any sanctions imposed by the general assembly.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68B.22(4)</w:t>
        </w:r>
      </w:hyperlink>
      <w:r>
        <w:rPr>
          <w:rFonts w:ascii="Times New Roman" w:hAnsi="Times New Roman"/>
          <w:b w:val="false"/>
          <w:i/>
          <w:color w:val="000000"/>
          <w:sz w:val="22"/>
        </w:rPr>
        <w:t>“s”</w:t>
      </w:r>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351—8.7</w:t>
      </w:r>
      <w:r>
        <w:rPr>
          <w:rFonts w:ascii="Times New Roman" w:hAnsi="Times New Roman"/>
          <w:b/>
          <w:i w:val="false"/>
          <w:color w:val="000000"/>
          <w:sz w:val="22"/>
        </w:rPr>
        <w:t xml:space="preserve">(68B) </w:t>
      </w:r>
      <w:r>
        <w:rPr>
          <w:rFonts w:ascii="Times New Roman" w:hAnsi="Times New Roman"/>
          <w:b/>
          <w:i w:val="false"/>
          <w:color w:val="000000"/>
          <w:sz w:val="22"/>
        </w:rPr>
        <w:t xml:space="preserve">Automatic penalties for delinquent client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Late client report. </w:t>
      </w:r>
      <w:r>
        <w:rPr>
          <w:rFonts w:ascii="Times New Roman" w:hAnsi="Times New Roman"/>
          <w:b w:val="false"/>
          <w:i w:val="false"/>
          <w:color w:val="000000"/>
          <w:sz w:val="22"/>
        </w:rPr>
        <w:t>An executive branch lobbyist client that fails to file an executive branch lobbyist client report on or before the required due date will be subject to an automatic civil penalty according to the following schedule:</w:t>
      </w:r>
    </w:p>
    <w:tbl>
      <w:tblPr>
        <w:tblW w:w="0" w:type="auto"/>
        <w:tblCellSpacing w:w="0" w:type="auto"/>
        <w:tblBorders>
          <w:top w:val="none"/>
          <w:left w:val="none"/>
          <w:bottom w:val="none"/>
          <w:right w:val="none"/>
          <w:insideH w:val="none"/>
          <w:insideV w:val="none"/>
        </w:tblBorders>
        <w:tblLayout w:type="fixed"/>
      </w:tblPr>
      <w:tblGrid>
        <w:gridCol w:w="2304"/>
        <w:gridCol w:w="384"/>
        <w:gridCol w:w="2304"/>
      </w:tblGrid>
      <w:tr>
        <w:trPr>
          <w:trHeight w:val="270" w:hRule="atLeast"/>
        </w:trPr>
        <w:tc>
          <w:tcPr>
            <w:tcW w:w="23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Days Delinquent</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Penalty Amount</w:t>
            </w:r>
          </w:p>
        </w:tc>
      </w:tr>
      <w:tr>
        <w:trPr>
          <w:trHeight w:val="270" w:hRule="atLeast"/>
        </w:trPr>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 to 14</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$50</w:t>
            </w:r>
          </w:p>
        </w:tc>
      </w:tr>
      <w:tr>
        <w:trPr>
          <w:trHeight w:val="255" w:hRule="atLeast"/>
        </w:trPr>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15 to 30</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$100</w:t>
            </w:r>
          </w:p>
        </w:tc>
      </w:tr>
      <w:tr>
        <w:trPr>
          <w:trHeight w:val="255" w:hRule="atLeast"/>
        </w:trPr>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31 and over</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30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Additional penalty. </w:t>
      </w:r>
      <w:r>
        <w:rPr>
          <w:rFonts w:ascii="Times New Roman" w:hAnsi="Times New Roman"/>
          <w:b w:val="false"/>
          <w:i w:val="false"/>
          <w:color w:val="000000"/>
          <w:sz w:val="22"/>
        </w:rPr>
        <w:t xml:space="preserve">If an executive branch lobbyist client fails to file a required client report or fails to file an accurate client report, a contested case proceeding may be held to determine whether a violation has occurred. If, after a contested case proceeding, it is determined that a violation occurred, the board may impose any of the actions under Iowa Code section </w:t>
      </w:r>
      <w:hyperlink r:id="rId19">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 Any action so imposed would be in addition to the automatically assessed penalty in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351—8.8</w:t>
      </w:r>
      <w:r>
        <w:rPr>
          <w:rFonts w:ascii="Times New Roman" w:hAnsi="Times New Roman"/>
          <w:b/>
          <w:i w:val="false"/>
          <w:color w:val="000000"/>
          <w:sz w:val="22"/>
        </w:rPr>
        <w:t xml:space="preserve">(68B) </w:t>
      </w:r>
      <w:r>
        <w:rPr>
          <w:rFonts w:ascii="Times New Roman" w:hAnsi="Times New Roman"/>
          <w:b/>
          <w:i w:val="false"/>
          <w:color w:val="000000"/>
          <w:sz w:val="22"/>
        </w:rPr>
        <w:t xml:space="preserve">Request for waiver of penalty. </w:t>
      </w:r>
      <w:r>
        <w:rPr>
          <w:rFonts w:ascii="Times New Roman" w:hAnsi="Times New Roman"/>
          <w:b w:val="false"/>
          <w:i w:val="false"/>
          <w:color w:val="000000"/>
          <w:sz w:val="22"/>
        </w:rPr>
        <w:t xml:space="preserve">An executive branch lobbyist client that believes there are mitigating circumstances that prevented the timely filing of a report may petition the board for waiver of the penalty. The board must receive the petition for waiver within 30 days of the executive branch lobbyist’s client being notified of the civil penalty assessment. The board will review the request and issue a waiver, in whole or in part, or denial of the request. If a denial or partial waiver is issued, the person will promptly pay the assessed penalty or request a contested case proceeding pursuant to rule </w:t>
      </w:r>
      <w:hyperlink r:id="rId22">
        <w:r>
          <w:rPr>
            <w:rStyle w:val="Hyperlink"/>
            <w:rFonts w:ascii="Times New Roman" w:hAnsi="Times New Roman"/>
            <w:b w:val="false"/>
            <w:i w:val="false"/>
            <w:color w:val="000000"/>
            <w:sz w:val="22"/>
          </w:rPr>
          <w:t>351—8.9</w:t>
        </w:r>
      </w:hyperlink>
      <w:r>
        <w:rPr>
          <w:rFonts w:ascii="Times New Roman" w:hAnsi="Times New Roman"/>
          <w:b w:val="false"/>
          <w:i w:val="false"/>
          <w:color w:val="000000"/>
          <w:sz w:val="22"/>
        </w:rPr>
        <w:t>(68B) to appeal the board’s decision.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351—8.9</w:t>
      </w:r>
      <w:r>
        <w:rPr>
          <w:rFonts w:ascii="Times New Roman" w:hAnsi="Times New Roman"/>
          <w:b/>
          <w:i w:val="false"/>
          <w:color w:val="000000"/>
          <w:sz w:val="22"/>
        </w:rPr>
        <w:t xml:space="preserve">(68B) </w:t>
      </w:r>
      <w:r>
        <w:rPr>
          <w:rFonts w:ascii="Times New Roman" w:hAnsi="Times New Roman"/>
          <w:b/>
          <w:i w:val="false"/>
          <w:color w:val="000000"/>
          <w:sz w:val="22"/>
        </w:rPr>
        <w:t xml:space="preserve">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If an executive branch lobbyist client accepts administrative resolution of a matter through the payment of a civil penalty, the matter will be closed. If the person chooses to contest the board’s decision, the person will make a written request to the executive director for a contested case proceeding within 30 days of being notified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Upon timely receipt of a request for a contested case proceeding, the board will provide for the issuance of a statement of charges and notice of hearing. The burden will be on the board’s legal counsel to prove that a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a contested case proceeding. </w:t>
      </w:r>
      <w:r>
        <w:rPr>
          <w:rFonts w:ascii="Times New Roman" w:hAnsi="Times New Roman"/>
          <w:b w:val="false"/>
          <w:i w:val="false"/>
          <w:color w:val="000000"/>
          <w:sz w:val="22"/>
        </w:rPr>
        <w:t xml:space="preserve">The failure to request a contested case proceeding to appeal the board’s decision on a waiver request is the failure to exhaust administrative remedies for purposes of seeking judicial review in accordance with Iowa Code chapter </w:t>
      </w:r>
      <w:hyperlink r:id="rId2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26">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351—8.10</w:t>
      </w:r>
      <w:r>
        <w:rPr>
          <w:rFonts w:ascii="Times New Roman" w:hAnsi="Times New Roman"/>
          <w:b/>
          <w:i w:val="false"/>
          <w:color w:val="000000"/>
          <w:sz w:val="22"/>
        </w:rPr>
        <w:t xml:space="preserve">(68B) </w:t>
      </w:r>
      <w:r>
        <w:rPr>
          <w:rFonts w:ascii="Times New Roman" w:hAnsi="Times New Roman"/>
          <w:b/>
          <w:i w:val="false"/>
          <w:color w:val="000000"/>
          <w:sz w:val="22"/>
        </w:rPr>
        <w:t xml:space="preserve">Payment of penalty. </w:t>
      </w:r>
      <w:r>
        <w:rPr>
          <w:rFonts w:ascii="Times New Roman" w:hAnsi="Times New Roman"/>
          <w:b w:val="false"/>
          <w:i w:val="false"/>
          <w:color w:val="000000"/>
          <w:sz w:val="22"/>
        </w:rPr>
        <w:t>Checks will be made payable to the State of Iowa and sent to the board’s office for transfer to the office of the treasurer of the state, which will deposit the check into the general 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68B.32A(5)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68B.32A(9)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351—8.11</w:t>
      </w:r>
      <w:r>
        <w:rPr>
          <w:rFonts w:ascii="Times New Roman" w:hAnsi="Times New Roman"/>
          <w:b/>
          <w:i w:val="false"/>
          <w:color w:val="000000"/>
          <w:sz w:val="22"/>
        </w:rPr>
        <w:t xml:space="preserve">(68A) </w:t>
      </w:r>
      <w:r>
        <w:rPr>
          <w:rFonts w:ascii="Times New Roman" w:hAnsi="Times New Roman"/>
          <w:b/>
          <w:i w:val="false"/>
          <w:color w:val="000000"/>
          <w:sz w:val="22"/>
        </w:rPr>
        <w:t xml:space="preserve">Campaign contributions by lobbyists during the regular legislative session.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Individuals who are registered in Iowa as either executive branch or legislative branch lobbyists are prohibited from contributing to, acting as an agent or intermediary for contributions to, or arranging for the making of monetary or in-kind contributions to the campaign of an elected state official, member of the general assembly, or candidate for state office on any day during the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8.11(2)</w:t>
      </w:r>
      <w:r>
        <w:rPr>
          <w:rFonts w:ascii="Times New Roman" w:hAnsi="Times New Roman"/>
          <w:b w:val="false"/>
          <w:i w:val="false"/>
          <w:color w:val="000000"/>
          <w:sz w:val="22"/>
        </w:rPr>
        <w:t> </w:t>
      </w:r>
      <w:r>
        <w:rPr>
          <w:rFonts w:ascii="Times New Roman" w:hAnsi="Times New Roman"/>
          <w:b w:val="false"/>
          <w:i/>
          <w:color w:val="000000"/>
          <w:sz w:val="22"/>
        </w:rPr>
        <w:t xml:space="preserve">Mailed contributions prohibited. </w:t>
      </w:r>
      <w:r>
        <w:rPr>
          <w:rFonts w:ascii="Times New Roman" w:hAnsi="Times New Roman"/>
          <w:b w:val="false"/>
          <w:i w:val="false"/>
          <w:color w:val="000000"/>
          <w:sz w:val="22"/>
        </w:rPr>
        <w:t>This prohibition includes a contribution that is mailed during the legislative session but received by the candidate after adjournment sine die.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8.11(3)</w:t>
      </w:r>
      <w:r>
        <w:rPr>
          <w:rFonts w:ascii="Times New Roman" w:hAnsi="Times New Roman"/>
          <w:b w:val="false"/>
          <w:i w:val="false"/>
          <w:color w:val="000000"/>
          <w:sz w:val="22"/>
        </w:rPr>
        <w:t> </w:t>
      </w:r>
      <w:r>
        <w:rPr>
          <w:rFonts w:ascii="Times New Roman" w:hAnsi="Times New Roman"/>
          <w:b w:val="false"/>
          <w:i/>
          <w:color w:val="000000"/>
          <w:sz w:val="22"/>
        </w:rPr>
        <w:t xml:space="preserve">Application to governor, lieutenant governor, and candidates. </w:t>
      </w:r>
      <w:r>
        <w:rPr>
          <w:rFonts w:ascii="Times New Roman" w:hAnsi="Times New Roman"/>
          <w:b w:val="false"/>
          <w:i w:val="false"/>
          <w:color w:val="000000"/>
          <w:sz w:val="22"/>
        </w:rPr>
        <w:t>The prohibition on contributions to the governor, lieutenant governor, or candidates for either office during the legislative session extends for 30 days following the adjournment sine die of a regular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8.11(4)</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prohibition on contributions during the legislative session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to an elected state official, member of the general assembly, or other state official who has taken affirmative action to seek nomination or election to a federal elective office so long as the lobbyist’s contribution is placed into the candidate’s federal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Contributions to a candidate for state office who filed nomination papers for a special election called or held during the legislative session if the candidate receives the contribution at any time during the period commencing on the date on which at least two candidates have been nominated for the office and ending on the date on which the election is held. However, elected state officials are prohibited from soliciting lobbyists for contributions to another candidate for state office when a special election is held during the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Contributions made during a special legislative session. In the case of the governor, lieutenant governor, and candidates for either office, this exception also includes the 30 days following a special legislative session unless that time period falls within 30 days of adjournment of the regular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Contributions from a lobbyist’s personal funds made to the lobbyist’s own campaign for public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8.11(5)</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Iowa Code section </w:t>
      </w:r>
      <w:hyperlink r:id="rId32">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 xml:space="preserve"> involving either executive branch lobbyists or legislative branch lobbyists will be filed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8.11(6)</w:t>
      </w:r>
      <w:r>
        <w:rPr>
          <w:rFonts w:ascii="Times New Roman" w:hAnsi="Times New Roman"/>
          <w:b w:val="false"/>
          <w:i w:val="false"/>
          <w:color w:val="000000"/>
          <w:sz w:val="22"/>
        </w:rPr>
        <w:t> </w:t>
      </w:r>
      <w:r>
        <w:rPr>
          <w:rFonts w:ascii="Times New Roman" w:hAnsi="Times New Roman"/>
          <w:b w:val="false"/>
          <w:i/>
          <w:color w:val="000000"/>
          <w:sz w:val="22"/>
        </w:rPr>
        <w:t xml:space="preserve">Date of session. </w:t>
      </w:r>
      <w:r>
        <w:rPr>
          <w:rFonts w:ascii="Times New Roman" w:hAnsi="Times New Roman"/>
          <w:b w:val="false"/>
          <w:i w:val="false"/>
          <w:color w:val="000000"/>
          <w:sz w:val="22"/>
        </w:rPr>
        <w:t xml:space="preserve">For purposes of Iowa Code section </w:t>
      </w:r>
      <w:hyperlink r:id="rId33">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 xml:space="preserve"> and this rule, a legislative session commences at 12 a.m. on the first day of the legislative session through 11:59:59 p.m. on the day that the legislative session adjourns sine die.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68A.504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351—8.12</w:t>
      </w:r>
      <w:r>
        <w:rPr>
          <w:rFonts w:ascii="Times New Roman" w:hAnsi="Times New Roman"/>
          <w:b/>
          <w:i w:val="false"/>
          <w:color w:val="000000"/>
          <w:sz w:val="22"/>
        </w:rPr>
        <w:t xml:space="preserve">(68B) </w:t>
      </w:r>
      <w:r>
        <w:rPr>
          <w:rFonts w:ascii="Times New Roman" w:hAnsi="Times New Roman"/>
          <w:b/>
          <w:i w:val="false"/>
          <w:color w:val="000000"/>
          <w:sz w:val="22"/>
        </w:rPr>
        <w:t xml:space="preserve">Loans made by lobbyists.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An executive branch official or employee or a candidate for statewide office will not directly or indirectly seek or accept a loan from a person who is an executive branch lobbyist.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8.12(2)</w:t>
      </w:r>
      <w:r>
        <w:rPr>
          <w:rFonts w:ascii="Times New Roman" w:hAnsi="Times New Roman"/>
          <w:b w:val="false"/>
          <w:i w:val="false"/>
          <w:color w:val="000000"/>
          <w:sz w:val="22"/>
        </w:rPr>
        <w:t> </w:t>
      </w:r>
      <w:r>
        <w:rPr>
          <w:rFonts w:ascii="Times New Roman" w:hAnsi="Times New Roman"/>
          <w:b w:val="false"/>
          <w:i/>
          <w:color w:val="000000"/>
          <w:sz w:val="22"/>
        </w:rPr>
        <w:t xml:space="preserve">Offer of loan prohibited. </w:t>
      </w:r>
      <w:r>
        <w:rPr>
          <w:rFonts w:ascii="Times New Roman" w:hAnsi="Times New Roman"/>
          <w:b w:val="false"/>
          <w:i w:val="false"/>
          <w:color w:val="000000"/>
          <w:sz w:val="22"/>
        </w:rPr>
        <w:t>An executive branch lobbyist will not directly or indirectly offer or make a loan to an executive branch official, executive branch employee, or a candidate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8.12(3)</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This prohibition does not apply to loans made in the ordinary course of business. “Ordinary course of business” means the loan is made by a person who is regularly engaged in a business that makes loans to members of the general public and the finance charges and other terms of the loan are the same or substantially similar to the finance charges and loan terms that are available to members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8.12(4)</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Iowa Code section </w:t>
      </w:r>
      <w:hyperlink r:id="rId35">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by an executive branch official or employee, candidate for statewide office, or an executive branch lobbyist will be filed with the board.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351—8.13</w:t>
      </w:r>
      <w:r>
        <w:rPr>
          <w:rFonts w:ascii="Times New Roman" w:hAnsi="Times New Roman"/>
          <w:b/>
          <w:i w:val="false"/>
          <w:color w:val="000000"/>
          <w:sz w:val="22"/>
        </w:rPr>
        <w:t xml:space="preserve">(68B) </w:t>
      </w:r>
      <w:r>
        <w:rPr>
          <w:rFonts w:ascii="Times New Roman" w:hAnsi="Times New Roman"/>
          <w:b/>
          <w:i w:val="false"/>
          <w:color w:val="000000"/>
          <w:sz w:val="22"/>
        </w:rPr>
        <w:t xml:space="preserve">Ban on certain lobbying activities by government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8.13(1)</w:t>
      </w:r>
      <w:r>
        <w:rPr>
          <w:rFonts w:ascii="Times New Roman" w:hAnsi="Times New Roman"/>
          <w:b w:val="false"/>
          <w:i w:val="false"/>
          <w:color w:val="000000"/>
          <w:sz w:val="22"/>
        </w:rPr>
        <w:t> </w:t>
      </w:r>
      <w:r>
        <w:rPr>
          <w:rFonts w:ascii="Times New Roman" w:hAnsi="Times New Roman"/>
          <w:b w:val="false"/>
          <w:i/>
          <w:color w:val="000000"/>
          <w:sz w:val="22"/>
        </w:rPr>
        <w:t xml:space="preserve">Lobbying restrictions—statewide elected officials and executive or administrative heads.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serves as a statewide elected official, the executive or administrative head of an agency, or the deputy executive or administrative head of an agency will not act as a lobbyist during the time in which the person serves or is employed by the state unless the person is designated to represent the official position of the person’s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this prohibition will not accept employment as a lobbyist for two years after leaving state government except as provided in subrule </w:t>
      </w:r>
      <w:hyperlink r:id="rId37">
        <w:r>
          <w:rPr>
            <w:rStyle w:val="Hyperlink"/>
            <w:rFonts w:ascii="Times New Roman" w:hAnsi="Times New Roman"/>
            <w:b w:val="false"/>
            <w:i w:val="false"/>
            <w:color w:val="000000"/>
            <w:sz w:val="22"/>
          </w:rPr>
          <w:t>8.13(4)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8.13(2)</w:t>
      </w:r>
      <w:r>
        <w:rPr>
          <w:rFonts w:ascii="Times New Roman" w:hAnsi="Times New Roman"/>
          <w:b w:val="false"/>
          <w:i w:val="false"/>
          <w:color w:val="000000"/>
          <w:sz w:val="22"/>
        </w:rPr>
        <w:t> </w:t>
      </w:r>
      <w:r>
        <w:rPr>
          <w:rFonts w:ascii="Times New Roman" w:hAnsi="Times New Roman"/>
          <w:b w:val="false"/>
          <w:i/>
          <w:color w:val="000000"/>
          <w:sz w:val="22"/>
        </w:rPr>
        <w:t xml:space="preserve">Lobbying restrictions—employees of statewide elected officials and other agency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 of a major subunit of an agency whose position involves substantial exercise of administrative discretion or the expenditure of public funds or a full-time employee of an office of a statewide elected official whose position involves substantial exercise of administrative discretion or the expenditure of public funds will not act as a lobbyist during the time in which the person is employed by the state before the agency that the person is employed by or before state agencies, officials, or employees with whom the person has substantial or regular contact as part of the person’s duties, unless the person is designated to represent the official position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this prohibition will not accept employment as a lobbyist for two years after leaving state government if the employment involves lobbying before the agency by which the person was employed or before state agencies, officials, or employees with whom the person had substantial and regular contact as part of the person’s former duties except as provided in subrule </w:t>
      </w:r>
      <w:hyperlink r:id="rId38">
        <w:r>
          <w:rPr>
            <w:rStyle w:val="Hyperlink"/>
            <w:rFonts w:ascii="Times New Roman" w:hAnsi="Times New Roman"/>
            <w:b w:val="false"/>
            <w:i w:val="false"/>
            <w:color w:val="000000"/>
            <w:sz w:val="22"/>
          </w:rPr>
          <w:t>8.13(4)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8.13(3)</w:t>
      </w:r>
      <w:r>
        <w:rPr>
          <w:rFonts w:ascii="Times New Roman" w:hAnsi="Times New Roman"/>
          <w:b w:val="false"/>
          <w:i w:val="false"/>
          <w:color w:val="000000"/>
          <w:sz w:val="22"/>
        </w:rPr>
        <w:t> </w:t>
      </w:r>
      <w:r>
        <w:rPr>
          <w:rFonts w:ascii="Times New Roman" w:hAnsi="Times New Roman"/>
          <w:b w:val="false"/>
          <w:i/>
          <w:color w:val="000000"/>
          <w:sz w:val="22"/>
        </w:rPr>
        <w:t xml:space="preserve">Lobbying restrictions—conflicts of interest. </w:t>
      </w:r>
      <w:r>
        <w:rPr>
          <w:rFonts w:ascii="Times New Roman" w:hAnsi="Times New Roman"/>
          <w:b w:val="false"/>
          <w:i w:val="false"/>
          <w:color w:val="000000"/>
          <w:sz w:val="22"/>
        </w:rPr>
        <w:t xml:space="preserve">A state employee who is not included in subrule </w:t>
      </w:r>
      <w:hyperlink r:id="rId39">
        <w:r>
          <w:rPr>
            <w:rStyle w:val="Hyperlink"/>
            <w:rFonts w:ascii="Times New Roman" w:hAnsi="Times New Roman"/>
            <w:b w:val="false"/>
            <w:i w:val="false"/>
            <w:color w:val="000000"/>
            <w:sz w:val="22"/>
          </w:rPr>
          <w:t>8.13(1)</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8.13(2)</w:t>
        </w:r>
      </w:hyperlink>
      <w:r>
        <w:rPr>
          <w:rFonts w:ascii="Times New Roman" w:hAnsi="Times New Roman"/>
          <w:b w:val="false"/>
          <w:i w:val="false"/>
          <w:color w:val="000000"/>
          <w:sz w:val="22"/>
        </w:rPr>
        <w:t xml:space="preserve"> will not act as a lobbyist in relation to any particular case, proceeding, or application with respect to which the person is directly concerned and personally participates as part of the person’s employment, unless the person is designated to represent the official position of the agency by which the person is employed. Persons subject to this prohibition will not accept employment as a lobbyist for two years after leaving state government if the employment involves lobbying in relation to any particular case, proceeding, or application with respect to which the person was directly concerned and personally participated as part of the person’s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This prohibition does not apply to a person who, within two years of leaving state service or employment, is elected to, appointed to, or employed by another office of the state, an office of a political subdivision of the state, or the federal government and represents the position of the new office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8.13(5)</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or information provided to the board alleging a violation of Iowa Code section </w:t>
      </w:r>
      <w:hyperlink r:id="rId41">
        <w:r>
          <w:rPr>
            <w:rStyle w:val="Hyperlink"/>
            <w:rFonts w:ascii="Times New Roman" w:hAnsi="Times New Roman"/>
            <w:b w:val="false"/>
            <w:i w:val="false"/>
            <w:color w:val="000000"/>
            <w:sz w:val="22"/>
          </w:rPr>
          <w:t>68B.5A</w:t>
        </w:r>
      </w:hyperlink>
      <w:r>
        <w:rPr>
          <w:rFonts w:ascii="Times New Roman" w:hAnsi="Times New Roman"/>
          <w:b w:val="false"/>
          <w:i w:val="false"/>
          <w:color w:val="000000"/>
          <w:sz w:val="22"/>
        </w:rPr>
        <w:t xml:space="preserve"> by an executive branch official or an executive branch employee will be filed with the board.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68B.5A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351—8.14</w:t>
      </w:r>
      <w:r>
        <w:rPr>
          <w:rFonts w:ascii="Times New Roman" w:hAnsi="Times New Roman"/>
          <w:b/>
          <w:i w:val="false"/>
          <w:color w:val="000000"/>
          <w:sz w:val="22"/>
        </w:rPr>
        <w:t xml:space="preserve">(68B) </w:t>
      </w:r>
      <w:r>
        <w:rPr>
          <w:rFonts w:ascii="Times New Roman" w:hAnsi="Times New Roman"/>
          <w:b/>
          <w:i w:val="false"/>
          <w:color w:val="000000"/>
          <w:sz w:val="22"/>
        </w:rPr>
        <w:t xml:space="preserve">False communications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8.14(1)</w:t>
      </w:r>
      <w:r>
        <w:rPr>
          <w:rFonts w:ascii="Times New Roman" w:hAnsi="Times New Roman"/>
          <w:b w:val="false"/>
          <w:i w:val="false"/>
          <w:color w:val="000000"/>
          <w:sz w:val="22"/>
        </w:rPr>
        <w:t> </w:t>
      </w:r>
      <w:r>
        <w:rPr>
          <w:rFonts w:ascii="Times New Roman" w:hAnsi="Times New Roman"/>
          <w:b w:val="false"/>
          <w:i/>
          <w:color w:val="000000"/>
          <w:sz w:val="22"/>
        </w:rPr>
        <w:t xml:space="preserve">False material fact. </w:t>
      </w:r>
      <w:r>
        <w:rPr>
          <w:rFonts w:ascii="Times New Roman" w:hAnsi="Times New Roman"/>
          <w:b w:val="false"/>
          <w:i w:val="false"/>
          <w:color w:val="000000"/>
          <w:sz w:val="22"/>
        </w:rPr>
        <w:t>An executive branch lobbyist will not intentionally deceive or attempt to deceive any executive branch official or employee in regard to a material fact pertinent to an administrative rule, legislation, or an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8.14(2)</w:t>
      </w:r>
      <w:r>
        <w:rPr>
          <w:rFonts w:ascii="Times New Roman" w:hAnsi="Times New Roman"/>
          <w:b w:val="false"/>
          <w:i w:val="false"/>
          <w:color w:val="000000"/>
          <w:sz w:val="22"/>
        </w:rPr>
        <w:t> </w:t>
      </w:r>
      <w:r>
        <w:rPr>
          <w:rFonts w:ascii="Times New Roman" w:hAnsi="Times New Roman"/>
          <w:b w:val="false"/>
          <w:i/>
          <w:color w:val="000000"/>
          <w:sz w:val="22"/>
        </w:rPr>
        <w:t xml:space="preserve">False communication. </w:t>
      </w:r>
      <w:r>
        <w:rPr>
          <w:rFonts w:ascii="Times New Roman" w:hAnsi="Times New Roman"/>
          <w:b w:val="false"/>
          <w:i w:val="false"/>
          <w:color w:val="000000"/>
          <w:sz w:val="22"/>
        </w:rPr>
        <w:t>An executive branch lobbyist will not cause a communication or an executive branch lobbyist registration statement to be sent to an executive branch official or an executive branch employee in the name of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fictitious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real person except with the consent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8.14(3)</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Complaints or information provided to the board alleging a violation of this rule by an executive branch lobbyist will be filed with the board.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0239D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12/16/94, Notice 8/17/94—published 1/4/95, effective 2/8/95]</w:t>
      </w:r>
    </w:p>
    <w:p>
      <w:pPr>
        <w:spacing w:before="0" w:after="0"/>
        <w:ind w:left="120"/>
        <w:jc w:val="center"/>
      </w:pPr>
      <w:r>
        <w:rPr>
          <w:rFonts w:ascii="Times New Roman" w:hAnsi="Times New Roman"/>
          <w:b w:val="false"/>
          <w:i w:val="false"/>
          <w:color w:val="000000"/>
          <w:sz w:val="21"/>
        </w:rPr>
        <w:t>[Filed 7/12/96, Notice 4/24/96—published 7/31/96, effective 9/4/96]</w:t>
      </w:r>
    </w:p>
    <w:p>
      <w:pPr>
        <w:spacing w:before="0" w:after="0"/>
        <w:ind w:left="120"/>
        <w:jc w:val="center"/>
      </w:pPr>
      <w:r>
        <w:rPr>
          <w:rFonts w:ascii="Times New Roman" w:hAnsi="Times New Roman"/>
          <w:b w:val="false"/>
          <w:i w:val="false"/>
          <w:color w:val="000000"/>
          <w:sz w:val="21"/>
        </w:rPr>
        <w:t>[Filed 10/18/96, Notice 8/28/96—published 11/6/96, effective 12/11/96]</w:t>
      </w:r>
    </w:p>
    <w:p>
      <w:pPr>
        <w:spacing w:before="0" w:after="0"/>
        <w:ind w:left="120"/>
        <w:jc w:val="center"/>
      </w:pPr>
      <w:r>
        <w:rPr>
          <w:rFonts w:ascii="Times New Roman" w:hAnsi="Times New Roman"/>
          <w:b w:val="false"/>
          <w:i w:val="false"/>
          <w:color w:val="000000"/>
          <w:sz w:val="21"/>
        </w:rPr>
        <w:t>[Filed 10/3/97, Notice 7/2/97—published 10/22/97, effective 1/3/98]</w:t>
      </w:r>
    </w:p>
    <w:p>
      <w:pPr>
        <w:spacing w:before="0" w:after="0"/>
        <w:ind w:left="120"/>
        <w:jc w:val="center"/>
      </w:pPr>
      <w:r>
        <w:rPr>
          <w:rFonts w:ascii="Times New Roman" w:hAnsi="Times New Roman"/>
          <w:b w:val="false"/>
          <w:i w:val="false"/>
          <w:color w:val="000000"/>
          <w:sz w:val="21"/>
        </w:rPr>
        <w:t>[Filed 11/6/03, Notice 10/1/03—published 11/26/03, effective 12/31/03]</w:t>
      </w:r>
    </w:p>
    <w:p>
      <w:pPr>
        <w:spacing w:before="0" w:after="0"/>
        <w:ind w:left="120"/>
        <w:jc w:val="center"/>
      </w:pPr>
      <w:r>
        <w:rPr>
          <w:rFonts w:ascii="Times New Roman" w:hAnsi="Times New Roman"/>
          <w:b w:val="false"/>
          <w:i w:val="false"/>
          <w:color w:val="000000"/>
          <w:sz w:val="21"/>
        </w:rPr>
        <w:t>[Filed 4/23/04, Notice 3/3/04—published 5/12/04, effective 7/1/04]</w:t>
      </w:r>
    </w:p>
    <w:p>
      <w:pPr>
        <w:spacing w:before="0" w:after="0"/>
        <w:ind w:left="120"/>
        <w:jc w:val="center"/>
      </w:pPr>
      <w:r>
        <w:rPr>
          <w:rFonts w:ascii="Times New Roman" w:hAnsi="Times New Roman"/>
          <w:b w:val="false"/>
          <w:i w:val="false"/>
          <w:color w:val="000000"/>
          <w:sz w:val="21"/>
        </w:rPr>
        <w:t>[Filed Without Notice 4/23/04—published 5/12/04, effective 7/1/04]</w:t>
      </w:r>
    </w:p>
    <w:p>
      <w:pPr>
        <w:spacing w:before="0" w:after="0"/>
        <w:ind w:left="120"/>
        <w:jc w:val="center"/>
      </w:pPr>
      <w:r>
        <w:rPr>
          <w:rFonts w:ascii="Times New Roman" w:hAnsi="Times New Roman"/>
          <w:b w:val="false"/>
          <w:i w:val="false"/>
          <w:color w:val="000000"/>
          <w:sz w:val="21"/>
        </w:rPr>
        <w:t>[Filed 10/22/04, Notice 9/15/04—published 11/10/04, effective 12/15/04]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4/2/08,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7651B</w:t>
      </w:r>
      <w:r>
        <w:rPr>
          <w:rFonts w:ascii="Times New Roman" w:hAnsi="Times New Roman"/>
          <w:b w:val="false"/>
          <w:i w:val="false"/>
          <w:color w:val="000000"/>
          <w:sz w:val="21"/>
        </w:rPr>
        <w:t xml:space="preserve"> (Notice ARC 7374B, IAB 12/3/08)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Without Notice ARC 8002B, IAB 7/29/09, effective 9/2/09]</w:t>
      </w:r>
      <w:r>
        <w:br/>
      </w:r>
      <w:r>
        <w:rPr>
          <w:rFonts w:ascii="Times New Roman" w:hAnsi="Times New Roman"/>
          <w:b w:val="false"/>
          <w:i w:val="false"/>
          <w:color w:val="000000"/>
          <w:sz w:val="21"/>
        </w:rPr>
        <w:t>[Filed ARC 7990B</w:t>
      </w:r>
      <w:r>
        <w:rPr>
          <w:rFonts w:ascii="Times New Roman" w:hAnsi="Times New Roman"/>
          <w:b w:val="false"/>
          <w:i w:val="false"/>
          <w:color w:val="000000"/>
          <w:sz w:val="21"/>
        </w:rPr>
        <w:t xml:space="preserve"> (Notice ARC 7812B,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Emergency ARC 8483B, IAB 1/13/10, effective 1/25/10]</w:t>
      </w:r>
    </w:p>
    <w:p>
      <w:pPr>
        <w:spacing w:before="0" w:after="0"/>
        <w:ind w:left="120"/>
        <w:jc w:val="center"/>
      </w:pPr>
      <w:r>
        <w:rPr>
          <w:rFonts w:ascii="Times New Roman" w:hAnsi="Times New Roman"/>
          <w:b w:val="false"/>
          <w:i w:val="false"/>
          <w:color w:val="000000"/>
          <w:sz w:val="21"/>
        </w:rPr>
        <w:t>[Filed Without Notice ARC 8805B, IAB 6/2/10, effective 7/7/10]</w:t>
      </w:r>
    </w:p>
    <w:p>
      <w:pPr>
        <w:spacing w:before="0" w:after="0"/>
        <w:ind w:left="120"/>
        <w:jc w:val="center"/>
      </w:pPr>
      <w:r>
        <w:rPr>
          <w:rFonts w:ascii="Times New Roman" w:hAnsi="Times New Roman"/>
          <w:b w:val="false"/>
          <w:i w:val="false"/>
          <w:color w:val="000000"/>
          <w:sz w:val="21"/>
        </w:rPr>
        <w:t>[Filed ARC 9983B</w:t>
      </w:r>
      <w:r>
        <w:rPr>
          <w:rFonts w:ascii="Times New Roman" w:hAnsi="Times New Roman"/>
          <w:b w:val="false"/>
          <w:i w:val="false"/>
          <w:color w:val="000000"/>
          <w:sz w:val="21"/>
        </w:rPr>
        <w:t xml:space="preserve"> (Notice ARC 9682B, IAB 8/24/11)</w:t>
      </w:r>
      <w:r>
        <w:rPr>
          <w:rFonts w:ascii="Times New Roman" w:hAnsi="Times New Roman"/>
          <w:b w:val="false"/>
          <w:i w:val="false"/>
          <w:color w:val="000000"/>
          <w:sz w:val="21"/>
        </w:rPr>
        <w:t>, IAB 2/8/12, effective 3/14/12]</w:t>
      </w:r>
      <w:r>
        <w:br/>
      </w:r>
      <w:r>
        <w:rPr>
          <w:rFonts w:ascii="Times New Roman" w:hAnsi="Times New Roman"/>
          <w:b w:val="false"/>
          <w:i w:val="false"/>
          <w:color w:val="000000"/>
          <w:sz w:val="21"/>
        </w:rPr>
        <w:t>[Filed ARC 9984B</w:t>
      </w:r>
      <w:r>
        <w:rPr>
          <w:rFonts w:ascii="Times New Roman" w:hAnsi="Times New Roman"/>
          <w:b w:val="false"/>
          <w:i w:val="false"/>
          <w:color w:val="000000"/>
          <w:sz w:val="21"/>
        </w:rPr>
        <w:t xml:space="preserve"> (Notice ARC 9681B, IAB 8/24/11)</w:t>
      </w:r>
      <w:r>
        <w:rPr>
          <w:rFonts w:ascii="Times New Roman" w:hAnsi="Times New Roman"/>
          <w:b w:val="false"/>
          <w:i w:val="false"/>
          <w:color w:val="000000"/>
          <w:sz w:val="21"/>
        </w:rPr>
        <w:t>, IAB 2/8/12, effective 3/14/12]</w:t>
      </w:r>
      <w:r>
        <w:br/>
      </w:r>
      <w:r>
        <w:rPr>
          <w:rFonts w:ascii="Times New Roman" w:hAnsi="Times New Roman"/>
          <w:b w:val="false"/>
          <w:i w:val="false"/>
          <w:color w:val="000000"/>
          <w:sz w:val="21"/>
        </w:rPr>
        <w:t>[Filed ARC 9985B</w:t>
      </w:r>
      <w:r>
        <w:rPr>
          <w:rFonts w:ascii="Times New Roman" w:hAnsi="Times New Roman"/>
          <w:b w:val="false"/>
          <w:i w:val="false"/>
          <w:color w:val="000000"/>
          <w:sz w:val="21"/>
        </w:rPr>
        <w:t xml:space="preserve"> (Notice ARC 9680B, IAB 8/24/11)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0239D</w:t>
      </w:r>
      <w:r>
        <w:rPr>
          <w:rFonts w:ascii="Times New Roman" w:hAnsi="Times New Roman"/>
          <w:b w:val="false"/>
          <w:i w:val="false"/>
          <w:color w:val="000000"/>
          <w:sz w:val="21"/>
        </w:rPr>
        <w:t xml:space="preserve"> (Notice ARC 0092D, IAB 3/4/26)</w:t>
      </w:r>
      <w:r>
        <w:rPr>
          <w:rFonts w:ascii="Times New Roman" w:hAnsi="Times New Roman"/>
          <w:b w:val="false"/>
          <w:i w:val="false"/>
          <w:color w:val="000000"/>
          <w:sz w:val="21"/>
        </w:rPr>
        <w:t>, IAB 4/29/26, effective 6/3/26]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4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2.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68B.2.pdf" Type="http://schemas.openxmlformats.org/officeDocument/2006/relationships/hyperlink" Id="rId7"/>
    <Relationship TargetMode="External" Target="https://www.legis.iowa.gov/docs/ico/chapter/68B.2.pdf" Type="http://schemas.openxmlformats.org/officeDocument/2006/relationships/hyperlink" Id="rId8"/>
    <Relationship TargetMode="External" Target="https://www.legis.iowa.gov/docs/ico/chapter/68B.2.pdf" Type="http://schemas.openxmlformats.org/officeDocument/2006/relationships/hyperlink" Id="rId9"/>
    <Relationship TargetMode="External" Target="https://www.legis.iowa.gov/docs/ico/chapter/68B.pdf" Type="http://schemas.openxmlformats.org/officeDocument/2006/relationships/hyperlink" Id="rId10"/>
    <Relationship TargetMode="External" Target="https://www.legis.iowa.gov/docs/iac/rule/351.9.3.pdf" Type="http://schemas.openxmlformats.org/officeDocument/2006/relationships/hyperlink" Id="rId11"/>
    <Relationship TargetMode="External" Target="https://www.legis.iowa.gov/docs/ico/chapter/68B.36.pdf" Type="http://schemas.openxmlformats.org/officeDocument/2006/relationships/hyperlink" Id="rId12"/>
    <Relationship TargetMode="External" Target="https://www.legis.iowa.gov/docs/ico/chapter/68B.38.pdf" Type="http://schemas.openxmlformats.org/officeDocument/2006/relationships/hyperlink" Id="rId13"/>
    <Relationship TargetMode="External" Target="https://www.legis.iowa.gov/docs/ico/chapter/68B.22.pdf" Type="http://schemas.openxmlformats.org/officeDocument/2006/relationships/hyperlink" Id="rId14"/>
    <Relationship TargetMode="External" Target="https://www.legis.iowa.gov/docs/ico/chapter/68B.pdf" Type="http://schemas.openxmlformats.org/officeDocument/2006/relationships/hyperlink" Id="rId15"/>
    <Relationship TargetMode="External" Target="https://www.legis.iowa.gov/docs/iac/rule/351.9.3.pdf" Type="http://schemas.openxmlformats.org/officeDocument/2006/relationships/hyperlink" Id="rId16"/>
    <Relationship TargetMode="External" Target="https://www.legis.iowa.gov/docs/ico/chapter/68B.22.pdf" Type="http://schemas.openxmlformats.org/officeDocument/2006/relationships/hyperlink" Id="rId17"/>
    <Relationship TargetMode="External" Target="https://www.legis.iowa.gov/docs/ico/chapter/68B.32A.pdf" Type="http://schemas.openxmlformats.org/officeDocument/2006/relationships/hyperlink" Id="rId18"/>
    <Relationship TargetMode="External" Target="https://www.legis.iowa.gov/docs/ico/chapter/68B.32D.pdf" Type="http://schemas.openxmlformats.org/officeDocument/2006/relationships/hyperlink" Id="rId19"/>
    <Relationship TargetMode="External" Target="https://www.legis.iowa.gov/docs/ico/chapter/68B.32A.pdf" Type="http://schemas.openxmlformats.org/officeDocument/2006/relationships/hyperlink" Id="rId20"/>
    <Relationship TargetMode="External" Target="https://www.legis.iowa.gov/docs/ico/chapter/68B.32A.pdf" Type="http://schemas.openxmlformats.org/officeDocument/2006/relationships/hyperlink" Id="rId21"/>
    <Relationship TargetMode="External" Target="https://www.legis.iowa.gov/docs/iac/rule/351.8.9.pdf" Type="http://schemas.openxmlformats.org/officeDocument/2006/relationships/hyperlink" Id="rId22"/>
    <Relationship TargetMode="External" Target="https://www.legis.iowa.gov/docs/ico/chapter/68B.32A.pdf" Type="http://schemas.openxmlformats.org/officeDocument/2006/relationships/hyperlink" Id="rId23"/>
    <Relationship TargetMode="External" Target="https://www.legis.iowa.gov/docs/ico/chapter/68B.32A.pdf" Type="http://schemas.openxmlformats.org/officeDocument/2006/relationships/hyperlink" Id="rId24"/>
    <Relationship TargetMode="External" Target="https://www.legis.iowa.gov/docs/ico/chapter/17A.pdf" Type="http://schemas.openxmlformats.org/officeDocument/2006/relationships/hyperlink" Id="rId25"/>
    <Relationship TargetMode="External" Target="https://www.legis.iowa.gov/docs/ico/chapter/68B.33.pdf" Type="http://schemas.openxmlformats.org/officeDocument/2006/relationships/hyperlink" Id="rId26"/>
    <Relationship TargetMode="External" Target="https://www.legis.iowa.gov/docs/ico/chapter/68B.32A.pdf" Type="http://schemas.openxmlformats.org/officeDocument/2006/relationships/hyperlink" Id="rId27"/>
    <Relationship TargetMode="External" Target="https://www.legis.iowa.gov/docs/ico/chapter/68B.32A.pdf" Type="http://schemas.openxmlformats.org/officeDocument/2006/relationships/hyperlink" Id="rId28"/>
    <Relationship TargetMode="External" Target="https://www.legis.iowa.gov/docs/ico/chapter/68B.33.pdf" Type="http://schemas.openxmlformats.org/officeDocument/2006/relationships/hyperlink" Id="rId29"/>
    <Relationship TargetMode="External" Target="https://www.legis.iowa.gov/docs/ico/chapter/68B.32A.pdf" Type="http://schemas.openxmlformats.org/officeDocument/2006/relationships/hyperlink" Id="rId30"/>
    <Relationship TargetMode="External" Target="https://www.legis.iowa.gov/docs/ico/chapter/68B.32A.pdf" Type="http://schemas.openxmlformats.org/officeDocument/2006/relationships/hyperlink" Id="rId31"/>
    <Relationship TargetMode="External" Target="https://www.legis.iowa.gov/docs/ico/chapter/68A.504.pdf" Type="http://schemas.openxmlformats.org/officeDocument/2006/relationships/hyperlink" Id="rId32"/>
    <Relationship TargetMode="External" Target="https://www.legis.iowa.gov/docs/ico/chapter/68A.504.pdf" Type="http://schemas.openxmlformats.org/officeDocument/2006/relationships/hyperlink" Id="rId33"/>
    <Relationship TargetMode="External" Target="https://www.legis.iowa.gov/docs/ico/chapter/68A.504.pdf" Type="http://schemas.openxmlformats.org/officeDocument/2006/relationships/hyperlink" Id="rId34"/>
    <Relationship TargetMode="External" Target="https://www.legis.iowa.gov/docs/ico/chapter/68B.24.pdf" Type="http://schemas.openxmlformats.org/officeDocument/2006/relationships/hyperlink" Id="rId35"/>
    <Relationship TargetMode="External" Target="https://www.legis.iowa.gov/docs/ico/chapter/68B.24.pdf" Type="http://schemas.openxmlformats.org/officeDocument/2006/relationships/hyperlink" Id="rId36"/>
    <Relationship TargetMode="External" Target="https://www.legis.iowa.gov/docs/iac/rule/351.8.13.pdf" Type="http://schemas.openxmlformats.org/officeDocument/2006/relationships/hyperlink" Id="rId37"/>
    <Relationship TargetMode="External" Target="https://www.legis.iowa.gov/docs/iac/rule/351.8.13.pdf" Type="http://schemas.openxmlformats.org/officeDocument/2006/relationships/hyperlink" Id="rId38"/>
    <Relationship TargetMode="External" Target="https://www.legis.iowa.gov/docs/iac/rule/351.8.13.pdf" Type="http://schemas.openxmlformats.org/officeDocument/2006/relationships/hyperlink" Id="rId39"/>
    <Relationship TargetMode="External" Target="https://www.legis.iowa.gov/docs/iac/rule/351.8.13.pdf" Type="http://schemas.openxmlformats.org/officeDocument/2006/relationships/hyperlink" Id="rId40"/>
    <Relationship TargetMode="External" Target="https://www.legis.iowa.gov/docs/ico/chapter/68B.5A.pdf" Type="http://schemas.openxmlformats.org/officeDocument/2006/relationships/hyperlink" Id="rId41"/>
    <Relationship TargetMode="External" Target="https://www.legis.iowa.gov/docs/ico/chapter/68B.5A.pdf" Type="http://schemas.openxmlformats.org/officeDocument/2006/relationships/hyperlink" Id="rId42"/>
    <Relationship TargetMode="External" Target="https://www.legis.iowa.gov/docs/ico/chapter/68B.32A.pdf" Type="http://schemas.openxmlformats.org/officeDocument/2006/relationships/hyperlink" Id="rId43"/>
    <Relationship Target="footer.xml" Type="http://schemas.openxmlformats.org/officeDocument/2006/relationships/footer" Id="rId4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