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PERSONAL FINANCIAL DISCLOSURE</w:t>
      </w:r>
    </w:p>
    <w:p>
      <w:pPr>
        <w:spacing w:before="0" w:after="0"/>
        <w:ind w:left="120"/>
        <w:jc w:val="center"/>
      </w:pPr>
      <w:r>
        <w:rPr>
          <w:rFonts w:ascii="Times New Roman" w:hAnsi="Times New Roman"/>
          <w:b w:val="false"/>
          <w:i w:val="false"/>
          <w:color w:val="000000"/>
          <w:sz w:val="14"/>
        </w:rPr>
        <w:t>[Prior to 7/9/03, see 351—Ch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351—7.1</w:t>
      </w:r>
      <w:r>
        <w:rPr>
          <w:rFonts w:ascii="Times New Roman" w:hAnsi="Times New Roman"/>
          <w:b/>
          <w:i w:val="false"/>
          <w:color w:val="000000"/>
          <w:sz w:val="22"/>
        </w:rPr>
        <w:t xml:space="preserve">(68B) </w:t>
      </w:r>
      <w:r>
        <w:rPr>
          <w:rFonts w:ascii="Times New Roman" w:hAnsi="Times New Roman"/>
          <w:b/>
          <w:i w:val="false"/>
          <w:color w:val="000000"/>
          <w:sz w:val="22"/>
        </w:rPr>
        <w:t xml:space="preserve">Filing 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Period covered. </w:t>
      </w:r>
      <w:r>
        <w:rPr>
          <w:rFonts w:ascii="Times New Roman" w:hAnsi="Times New Roman"/>
          <w:b w:val="false"/>
          <w:i w:val="false"/>
          <w:color w:val="000000"/>
          <w:sz w:val="22"/>
        </w:rPr>
        <w:t>All persons who are required to file a personal financial disclosure will file the statement with the board no later than April 30 of each year following a year during which the person holds a designated position, without regard to the length of time the position was occupied by the person. A person who held a designated position who left that position or state employment will have a continuing obligation to file the statement for any year or portion of a year in which the position was held prior to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Place and timing of filing. </w:t>
      </w:r>
      <w:r>
        <w:rPr>
          <w:rFonts w:ascii="Times New Roman" w:hAnsi="Times New Roman"/>
          <w:b w:val="false"/>
          <w:i w:val="false"/>
          <w:color w:val="000000"/>
          <w:sz w:val="22"/>
        </w:rPr>
        <w:t>A personal financial disclosure will be filed with the board electronically no later than 11:59 p.m. on the due date. If the due date falls on a weekend or holiday, the deadline will be extended to the next day the board’s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Persons holding more than one designated position. </w:t>
      </w:r>
      <w:r>
        <w:rPr>
          <w:rFonts w:ascii="Times New Roman" w:hAnsi="Times New Roman"/>
          <w:b w:val="false"/>
          <w:i w:val="false"/>
          <w:color w:val="000000"/>
          <w:sz w:val="22"/>
        </w:rPr>
        <w:t>A person who is required to file a personal financial disclosure for more than one position will be required to file only one statement for the reporting year. A member of the general assembly who files a form with the secretary of the senate or the chief clerk of the house will not be required to file the form with the board for any designated position held in the executive branch.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Period covered. </w:t>
      </w:r>
      <w:r>
        <w:rPr>
          <w:rFonts w:ascii="Times New Roman" w:hAnsi="Times New Roman"/>
          <w:b w:val="false"/>
          <w:i w:val="false"/>
          <w:color w:val="000000"/>
          <w:sz w:val="22"/>
        </w:rPr>
        <w:t>Information will be filed on a personal financial disclosure as designated by the board and will cover the previous calendar year. However, a statement filed by a person who has left a designated position during the course of a year need only contain information covering the portion of that year that has elapsed prior to the person’s leaving the position.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351—7.2</w:t>
      </w:r>
      <w:r>
        <w:rPr>
          <w:rFonts w:ascii="Times New Roman" w:hAnsi="Times New Roman"/>
          <w:b/>
          <w:i w:val="false"/>
          <w:color w:val="000000"/>
          <w:sz w:val="22"/>
        </w:rPr>
        <w:t xml:space="preserve">(68B) </w:t>
      </w:r>
      <w:r>
        <w:rPr>
          <w:rFonts w:ascii="Times New Roman" w:hAnsi="Times New Roman"/>
          <w:b/>
          <w:i w:val="false"/>
          <w:color w:val="000000"/>
          <w:sz w:val="22"/>
        </w:rPr>
        <w:t xml:space="preserve">Information disclosed 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completing a personal financial disclosure, “income sources” includes those sources that are held solely or jointly with one or more persons and that in total generate more than $1,000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Spousal income. </w:t>
      </w:r>
      <w:r>
        <w:rPr>
          <w:rFonts w:ascii="Times New Roman" w:hAnsi="Times New Roman"/>
          <w:b w:val="false"/>
          <w:i w:val="false"/>
          <w:color w:val="000000"/>
          <w:sz w:val="22"/>
        </w:rPr>
        <w:t>For purposes of completing a personal financial disclosure, income earned solely by the spouse of a person subject to reporting is not income to that person and need not be reported as an income 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351—7.3</w:t>
      </w:r>
      <w:r>
        <w:rPr>
          <w:rFonts w:ascii="Times New Roman" w:hAnsi="Times New Roman"/>
          <w:b/>
          <w:i w:val="false"/>
          <w:color w:val="000000"/>
          <w:sz w:val="22"/>
        </w:rPr>
        <w:t xml:space="preserve">(68B) </w:t>
      </w:r>
      <w:r>
        <w:rPr>
          <w:rFonts w:ascii="Times New Roman" w:hAnsi="Times New Roman"/>
          <w:b/>
          <w:i w:val="false"/>
          <w:color w:val="000000"/>
          <w:sz w:val="22"/>
        </w:rPr>
        <w:t xml:space="preserve">Procedure for determining persons required to file with the board—distribution of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Persons required by statute. </w:t>
      </w:r>
      <w:r>
        <w:rPr>
          <w:rFonts w:ascii="Times New Roman" w:hAnsi="Times New Roman"/>
          <w:b w:val="false"/>
          <w:i w:val="false"/>
          <w:color w:val="000000"/>
          <w:sz w:val="22"/>
        </w:rPr>
        <w:t>In order to determine which persons in the executive branch are required to file a personal financial disclosure, the board will contact each agency on an annual basis and provide notification of the statutory requirement. This notification will include the name and position title of each person in the agency who filed the previous year. Each agency, in consultation with the board, will then determine which persons are required to file for the next filing period and will provide the board with the appropriate names and position titles. The board will have the final authority to determine whether a position requires that a personal financial disclosure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Boards, commissions, or authorities not named in statute. </w:t>
      </w:r>
      <w:r>
        <w:rPr>
          <w:rFonts w:ascii="Times New Roman" w:hAnsi="Times New Roman"/>
          <w:b w:val="false"/>
          <w:i w:val="false"/>
          <w:color w:val="000000"/>
          <w:sz w:val="22"/>
        </w:rPr>
        <w:t>On an annual basis, the board will conduct a review to determine if a member of any other board, commission, or authority not specifically named in the Iowa Code should file a personal financial disclosure. If the board determines that a personal financial disclosure should be filed, the board will by rule require a personal financial disclosure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Statewide candidates. </w:t>
      </w:r>
      <w:r>
        <w:rPr>
          <w:rFonts w:ascii="Times New Roman" w:hAnsi="Times New Roman"/>
          <w:b w:val="false"/>
          <w:i w:val="false"/>
          <w:color w:val="000000"/>
          <w:sz w:val="22"/>
        </w:rPr>
        <w:t>A person who is a candidate for statewide office will file a personal financial disclosure with the board by 11:59 p.m. on April 30 of the year the candidate appears on the ballot. If the due date falls on a weekend or holiday, the filing deadline will be extended to the first working day following the deadline. Once nomination papers or an affidavit of candidacy is filed, the board will notify the person of the requirement. The notification will be sent by first-class mail or email and will include information on how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Statewide candidates in a special election. </w:t>
      </w:r>
      <w:r>
        <w:rPr>
          <w:rFonts w:ascii="Times New Roman" w:hAnsi="Times New Roman"/>
          <w:b w:val="false"/>
          <w:i w:val="false"/>
          <w:color w:val="000000"/>
          <w:sz w:val="22"/>
        </w:rPr>
        <w:t xml:space="preserve">A candidate for statewide office in a special election will electronically file a personal financial disclosure with the board within ten days after the certification of the candidate’s name as the nominee under Iowa Code section </w:t>
      </w:r>
      <w:hyperlink r:id="rId9">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 Notification to a statewide candidate in a special election will be sent by first-class mail or email and will include information on how to file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351—7.4</w:t>
      </w:r>
      <w:r>
        <w:rPr>
          <w:rFonts w:ascii="Times New Roman" w:hAnsi="Times New Roman"/>
          <w:b/>
          <w:i w:val="false"/>
          <w:color w:val="000000"/>
          <w:sz w:val="22"/>
        </w:rPr>
        <w:t xml:space="preserve">(68B)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Penalties for late personal financial disclosure statements. </w:t>
      </w:r>
      <w:r>
        <w:rPr>
          <w:rFonts w:ascii="Times New Roman" w:hAnsi="Times New Roman"/>
          <w:b w:val="false"/>
          <w:i w:val="false"/>
          <w:color w:val="000000"/>
          <w:sz w:val="22"/>
        </w:rPr>
        <w:t>An individual holding a designated position in the executive branch who fails to timely file a personal financial disclosure will be subject to an automatic civil penalty according to the following schedule:</w:t>
      </w:r>
    </w:p>
    <w:tbl>
      <w:tblPr>
        <w:tblW w:w="0" w:type="auto"/>
        <w:tblCellSpacing w:w="0" w:type="auto"/>
        <w:tblBorders>
          <w:top w:val="none"/>
          <w:left w:val="none"/>
          <w:bottom w:val="none"/>
          <w:right w:val="none"/>
          <w:insideH w:val="none"/>
          <w:insideV w:val="none"/>
        </w:tblBorders>
        <w:tblLayout w:type="fixed"/>
      </w:tblPr>
      <w:tblGrid>
        <w:gridCol w:w="2304"/>
        <w:gridCol w:w="384"/>
        <w:gridCol w:w="2304"/>
      </w:tblGrid>
      <w:tr>
        <w:trPr>
          <w:trHeight w:val="270" w:hRule="atLeast"/>
        </w:trPr>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Days Delinquent</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Penalty Amount</w:t>
            </w:r>
          </w:p>
        </w:tc>
      </w:tr>
      <w:tr>
        <w:trPr>
          <w:trHeight w:val="270"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 to 14</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55"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15 to 30</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31 and over</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Additional penalty. </w:t>
      </w:r>
      <w:r>
        <w:rPr>
          <w:rFonts w:ascii="Times New Roman" w:hAnsi="Times New Roman"/>
          <w:b w:val="false"/>
          <w:i w:val="false"/>
          <w:color w:val="000000"/>
          <w:sz w:val="22"/>
        </w:rPr>
        <w:t xml:space="preserve">If an individual holding a designated position in the executive branch fails to file a personal financial disclosure statement within 45 days of the required filing date, a contested case proceeding may be held. The board may impose any of the actions under Iowa Code section </w:t>
      </w:r>
      <w:hyperlink r:id="rId12">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xml:space="preserve"> in addition to the automatically assessed penalty in subrule </w:t>
      </w:r>
      <w:hyperlink r:id="rId13">
        <w:r>
          <w:rPr>
            <w:rStyle w:val="Hyperlink"/>
            <w:rFonts w:ascii="Times New Roman" w:hAnsi="Times New Roman"/>
            <w:b w:val="false"/>
            <w:i w:val="false"/>
            <w:color w:val="000000"/>
            <w:sz w:val="22"/>
          </w:rPr>
          <w:t>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true statement. </w:t>
      </w:r>
      <w:r>
        <w:rPr>
          <w:rFonts w:ascii="Times New Roman" w:hAnsi="Times New Roman"/>
          <w:b w:val="false"/>
          <w:i w:val="false"/>
          <w:color w:val="000000"/>
          <w:sz w:val="22"/>
        </w:rPr>
        <w:t xml:space="preserve">It will be considered a violation of Iowa Code section </w:t>
      </w:r>
      <w:hyperlink r:id="rId14">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for an individual holding a designated position in the executive branch to file a disclosure statement containing false or fraudulent information. Complaints concerning the filing of a false or fraudulent disclosure statement will be handled by the procedures in Iowa Code section </w:t>
      </w:r>
      <w:hyperlink r:id="rId15">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If it is determined after a contested case proceeding that a false or fraudulent disclosure statement was filed, the board may impose any of the actions under Iowa Code section </w:t>
      </w:r>
      <w:hyperlink r:id="rId16">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351—7.5</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Requests for waiver of penalties. </w:t>
      </w:r>
      <w:r>
        <w:rPr>
          <w:rFonts w:ascii="Times New Roman" w:hAnsi="Times New Roman"/>
          <w:b w:val="false"/>
          <w:i w:val="false"/>
          <w:color w:val="000000"/>
          <w:sz w:val="22"/>
        </w:rPr>
        <w:t>If an individual holding a designated position in the executive branch believes that mitigating circumstances prevented the timely filing of a personal financial disclosure, the individual may petition the board for waiver of the penalty. The petition for waiver must be received by the board within 30 days of notification to the individual of the civil penalty assessment. The board will review the petition and may waive the penalty, in whole or in part, or deny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351—7.6</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challenge.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the individual accepts administrative resolution concerning a late-filed personal financial disclosure through the payment of the assessed penalty, the matter will be closed. If the individual chooses to contest the board’s decision to deny the request or grant a partial waiver of an assessed penalty, the individual will make a written request to the executive director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Upon timely receipt of a request for a contested case proceeding, the board will provide for the issuance of a statement of charges and notice of hearing. The contested case will be conducted in accordance with the provisions of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burden will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proceeding. </w:t>
      </w:r>
      <w:r>
        <w:rPr>
          <w:rFonts w:ascii="Times New Roman" w:hAnsi="Times New Roman"/>
          <w:b w:val="false"/>
          <w:i w:val="false"/>
          <w:color w:val="000000"/>
          <w:sz w:val="22"/>
        </w:rPr>
        <w:t xml:space="preserve">The failure to request a contested case proceeding to contest the board’s decision on a waiver request is a failure to exhaust administrative remedies for purposes of seeking judicial review in accordance with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351—7.7</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r>
        <w:rPr>
          <w:rFonts w:ascii="Times New Roman" w:hAnsi="Times New Roman"/>
          <w:b w:val="false"/>
          <w:i w:val="false"/>
          <w:color w:val="000000"/>
          <w:sz w:val="22"/>
        </w:rPr>
        <w:t>Checks will be made payable to the State of Iowa and sent to the board’s office for transfer to the office of the treasurer of state, which will deposit the check into the general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351—7.8</w:t>
      </w:r>
      <w:r>
        <w:rPr>
          <w:rFonts w:ascii="Times New Roman" w:hAnsi="Times New Roman"/>
          <w:b/>
          <w:i w:val="false"/>
          <w:color w:val="000000"/>
          <w:sz w:val="22"/>
        </w:rPr>
        <w:t xml:space="preserve">(68B) </w:t>
      </w:r>
      <w:r>
        <w:rPr>
          <w:rFonts w:ascii="Times New Roman" w:hAnsi="Times New Roman"/>
          <w:b/>
          <w:i w:val="false"/>
          <w:color w:val="000000"/>
          <w:sz w:val="22"/>
        </w:rPr>
        <w:t xml:space="preserve">Retention and availability of filed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Forms filed with the board are public records and will be available for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Internet access.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 the board will record filed personal financial disclosure statements on the board’s website. Filed forms will be accessible for a period of at least five years from the reporting due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3/11/94 after Notice 2/2/94—published 3/30/94, effective 4/1/94]</w:t>
      </w:r>
    </w:p>
    <w:p>
      <w:pPr>
        <w:spacing w:before="0" w:after="0"/>
        <w:ind w:left="120"/>
        <w:jc w:val="center"/>
      </w:pPr>
      <w:r>
        <w:rPr>
          <w:rFonts w:ascii="Times New Roman" w:hAnsi="Times New Roman"/>
          <w:b w:val="false"/>
          <w:i w:val="false"/>
          <w:color w:val="000000"/>
          <w:sz w:val="21"/>
        </w:rPr>
        <w:t>[Filed 2/29/96, Notice 12/20/95—published 3/27/96, effective 5/1/96]</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8/1/02, Notice 6/12/02—published 8/21/02, effective 9/25/02]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Without Notice ARC 7802B, IAB 6/3/09, effective 7/8/09]</w:t>
      </w:r>
    </w:p>
    <w:p>
      <w:pPr>
        <w:spacing w:before="0" w:after="0"/>
        <w:ind w:left="120"/>
        <w:jc w:val="center"/>
      </w:pP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8288B</w:t>
      </w:r>
      <w:r>
        <w:rPr>
          <w:rFonts w:ascii="Times New Roman" w:hAnsi="Times New Roman"/>
          <w:b w:val="false"/>
          <w:i w:val="false"/>
          <w:color w:val="000000"/>
          <w:sz w:val="21"/>
        </w:rPr>
        <w:t xml:space="preserve"> (Notice ARC 8001B, IAB 7/29/09)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0238D</w:t>
      </w:r>
      <w:r>
        <w:rPr>
          <w:rFonts w:ascii="Times New Roman" w:hAnsi="Times New Roman"/>
          <w:b w:val="false"/>
          <w:i w:val="false"/>
          <w:color w:val="000000"/>
          <w:sz w:val="21"/>
        </w:rPr>
        <w:t xml:space="preserve"> (Notice ARC 0093D,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2A.pdf" Type="http://schemas.openxmlformats.org/officeDocument/2006/relationships/hyperlink" Id="rId5"/>
    <Relationship TargetMode="External" Target="https://www.legis.iowa.gov/docs/ico/chapter/68B.35.pdf" Type="http://schemas.openxmlformats.org/officeDocument/2006/relationships/hyperlink" Id="rId6"/>
    <Relationship TargetMode="External" Target="https://www.legis.iowa.gov/docs/ico/chapter/68B.35A.pdf" Type="http://schemas.openxmlformats.org/officeDocument/2006/relationships/hyperlink" Id="rId7"/>
    <Relationship TargetMode="External" Target="https://www.legis.iowa.gov/docs/ico/chapter/68B.35.pdf" Type="http://schemas.openxmlformats.org/officeDocument/2006/relationships/hyperlink" Id="rId8"/>
    <Relationship TargetMode="External" Target="https://www.legis.iowa.gov/docs/ico/chapter/43.88.pdf" Type="http://schemas.openxmlformats.org/officeDocument/2006/relationships/hyperlink" Id="rId9"/>
    <Relationship TargetMode="External" Target="https://www.legis.iowa.gov/docs/ico/chapter/68B.32A.pdf" Type="http://schemas.openxmlformats.org/officeDocument/2006/relationships/hyperlink" Id="rId10"/>
    <Relationship TargetMode="External" Target="https://www.legis.iowa.gov/docs/ico/chapter/68B.35.pdf" Type="http://schemas.openxmlformats.org/officeDocument/2006/relationships/hyperlink" Id="rId11"/>
    <Relationship TargetMode="External" Target="https://www.legis.iowa.gov/docs/ico/chapter/68B.32D.pdf" Type="http://schemas.openxmlformats.org/officeDocument/2006/relationships/hyperlink" Id="rId12"/>
    <Relationship TargetMode="External" Target="https://www.legis.iowa.gov/docs/iac/rule/351.7.4.pdf" Type="http://schemas.openxmlformats.org/officeDocument/2006/relationships/hyperlink" Id="rId13"/>
    <Relationship TargetMode="External" Target="https://www.legis.iowa.gov/docs/ico/chapter/68B.35.pdf" Type="http://schemas.openxmlformats.org/officeDocument/2006/relationships/hyperlink" Id="rId14"/>
    <Relationship TargetMode="External" Target="https://www.legis.iowa.gov/docs/ico/chapter/68B.32B.pdf" Type="http://schemas.openxmlformats.org/officeDocument/2006/relationships/hyperlink" Id="rId15"/>
    <Relationship TargetMode="External" Target="https://www.legis.iowa.gov/docs/ico/chapter/68B.32D.pdf" Type="http://schemas.openxmlformats.org/officeDocument/2006/relationships/hyperlink" Id="rId16"/>
    <Relationship TargetMode="External" Target="https://www.legis.iowa.gov/docs/ico/chapter/68B.32A.pdf" Type="http://schemas.openxmlformats.org/officeDocument/2006/relationships/hyperlink" Id="rId17"/>
    <Relationship TargetMode="External" Target="https://www.legis.iowa.gov/docs/ico/chapter/68B.35.pdf" Type="http://schemas.openxmlformats.org/officeDocument/2006/relationships/hyperlink" Id="rId18"/>
    <Relationship TargetMode="External" Target="https://www.legis.iowa.gov/docs/ico/chapter/68B.32A.pdf" Type="http://schemas.openxmlformats.org/officeDocument/2006/relationships/hyperlink" Id="rId19"/>
    <Relationship TargetMode="External" Target="https://www.legis.iowa.gov/docs/ico/chapter/68B.32A.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68B.32A.pdf" Type="http://schemas.openxmlformats.org/officeDocument/2006/relationships/hyperlink" Id="rId23"/>
    <Relationship TargetMode="External" Target="https://www.legis.iowa.gov/docs/ico/chapter/68B.33.pdf" Type="http://schemas.openxmlformats.org/officeDocument/2006/relationships/hyperlink" Id="rId24"/>
    <Relationship TargetMode="External" Target="https://www.legis.iowa.gov/docs/ico/chapter/68B.32A.pdf" Type="http://schemas.openxmlformats.org/officeDocument/2006/relationships/hyperlink" Id="rId25"/>
    <Relationship TargetMode="External" Target="https://www.legis.iowa.gov/docs/ico/chapter/68B.35A.pdf" Type="http://schemas.openxmlformats.org/officeDocument/2006/relationships/hyperlink" Id="rId26"/>
    <Relationship TargetMode="External" Target="https://www.legis.iowa.gov/docs/ico/chapter/68B.35.pdf" Type="http://schemas.openxmlformats.org/officeDocument/2006/relationships/hyperlink" Id="rId27"/>
    <Relationship TargetMode="External" Target="https://www.legis.iowa.gov/docs/ico/chapter/68B.35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