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EXECUTIVE BRANCH ETHICS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351—6.1</w:t>
      </w:r>
      <w:r>
        <w:rPr>
          <w:rFonts w:ascii="Times New Roman" w:hAnsi="Times New Roman"/>
          <w:b/>
          <w:i w:val="false"/>
          <w:color w:val="000000"/>
          <w:sz w:val="22"/>
        </w:rPr>
        <w:t xml:space="preserve">(68B)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 this chapter establishes rules relating to ethical conduct for the executive branch of state government and other political subdivisions.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68B.32(1)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351—6.2</w:t>
      </w:r>
      <w:r>
        <w:rPr>
          <w:rFonts w:ascii="Times New Roman" w:hAnsi="Times New Roman"/>
          <w:b/>
          <w:i w:val="false"/>
          <w:color w:val="000000"/>
          <w:sz w:val="22"/>
        </w:rPr>
        <w:t xml:space="preserve">(68B)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of state government”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“state agency”</w:t>
      </w:r>
      <w:r>
        <w:rPr>
          <w:rFonts w:ascii="Times New Roman" w:hAnsi="Times New Roman"/>
          <w:b w:val="false"/>
          <w:i w:val="false"/>
          <w:color w:val="000000"/>
          <w:sz w:val="22"/>
        </w:rPr>
        <w:t> </w:t>
      </w:r>
      <w:r>
        <w:rPr>
          <w:rFonts w:ascii="Times New Roman" w:hAnsi="Times New Roman"/>
          <w:b w:val="false"/>
          <w:i w:val="false"/>
          <w:color w:val="000000"/>
          <w:sz w:val="22"/>
        </w:rPr>
        <w:t>includes any authority, board, bureau, commission, community college, department, division, office of a statewide elected official, or regents university within the executive branch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“Candidate for statewide office”</w:t>
      </w:r>
      <w:r>
        <w:rPr>
          <w:rFonts w:ascii="Times New Roman" w:hAnsi="Times New Roman"/>
          <w:b w:val="false"/>
          <w:i w:val="false"/>
          <w:color w:val="000000"/>
          <w:sz w:val="22"/>
        </w:rPr>
        <w:t> </w:t>
      </w:r>
      <w:r>
        <w:rPr>
          <w:rFonts w:ascii="Times New Roman" w:hAnsi="Times New Roman"/>
          <w:b w:val="false"/>
          <w:i w:val="false"/>
          <w:color w:val="000000"/>
          <w:sz w:val="22"/>
        </w:rPr>
        <w:t>means a candidate for governor, lieutenant governor, secretary of state, auditor of state, treasurer of state, secretary of agriculture, or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a paid employee of any agency of state government. “Employee” includes an individual employed in an interim or acting capacity. “Employee” does not include an official or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statewide elected official, an executive or administrative head or heads of a state agency, a deputy executive or administrative head or heads of a state agency, a member of a board or commission as defined under Iowa Code section </w:t>
      </w:r>
      <w:hyperlink r:id="rId8">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or a head of a major subunit of a state agency whose position involves a substantial exercise of administrative discretion or the expenditure of public funds. “Official” includes an individual serving in an interim or acting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duties”</w:t>
      </w:r>
      <w:r>
        <w:rPr>
          <w:rFonts w:ascii="Times New Roman" w:hAnsi="Times New Roman"/>
          <w:b w:val="false"/>
          <w:i w:val="false"/>
          <w:color w:val="000000"/>
          <w:sz w:val="22"/>
        </w:rPr>
        <w:t> </w:t>
      </w:r>
      <w:r>
        <w:rPr>
          <w:rFonts w:ascii="Times New Roman" w:hAnsi="Times New Roman"/>
          <w:b w:val="false"/>
          <w:i w:val="false"/>
          <w:color w:val="000000"/>
          <w:sz w:val="22"/>
        </w:rPr>
        <w:t>includes the official duties, responsibilities, or activities of an official or employee that are mandated by law, rule, or court order or that otherwise lawfully aid an agency of state government in carrying out the statutory functions of the agency.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68B.2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351—6.3</w:t>
      </w:r>
      <w:r>
        <w:rPr>
          <w:rFonts w:ascii="Times New Roman" w:hAnsi="Times New Roman"/>
          <w:b/>
          <w:i w:val="false"/>
          <w:color w:val="000000"/>
          <w:sz w:val="22"/>
        </w:rPr>
        <w:t xml:space="preserve">(68B) </w:t>
      </w:r>
      <w:r>
        <w:rPr>
          <w:rFonts w:ascii="Times New Roman" w:hAnsi="Times New Roman"/>
          <w:b/>
          <w:i w:val="false"/>
          <w:color w:val="000000"/>
          <w:sz w:val="22"/>
        </w:rPr>
        <w:t xml:space="preserve">Complaints or filing information alleging a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 xml:space="preserve">Any person may file a complaint or provide information to the board alleging a violation of Iowa Code chapter </w:t>
      </w:r>
      <w:hyperlink r:id="rId10">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by officials, employees, and candidates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procedure for filing a complaint or providing information to the board alleging a violation of Iowa Code chapter </w:t>
      </w:r>
      <w:hyperlink r:id="rId1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is set out in Iowa Code section </w:t>
      </w:r>
      <w:hyperlink r:id="rId12">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351—Chapter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Whistleblower protection. </w:t>
      </w:r>
      <w:r>
        <w:rPr>
          <w:rFonts w:ascii="Times New Roman" w:hAnsi="Times New Roman"/>
          <w:b w:val="false"/>
          <w:i w:val="false"/>
          <w:color w:val="000000"/>
          <w:sz w:val="22"/>
        </w:rPr>
        <w:t xml:space="preserve">A person who discharges or discriminates against an official or employee because the official or employee filed a complaint or provided information to the board will be subject to the board’s complaint process if the official or employee filed the complaint or provided the information in good faith. If it is determined after a contested case proceeding that a person has impermissibly discharged or discriminated against an official or employee, the board may impose sanctions as set out in Iowa Code section </w:t>
      </w:r>
      <w:hyperlink r:id="rId14">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For purposes of this rule, “good faith” means that any statements or materials in a complaint or included as part of information provided to the board were made or provided with a reasonable belief that such statements or materials were true and accurate.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68B.32A(14)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351—6.4</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advice.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Advice requested. </w:t>
      </w:r>
      <w:r>
        <w:rPr>
          <w:rFonts w:ascii="Times New Roman" w:hAnsi="Times New Roman"/>
          <w:b w:val="false"/>
          <w:i w:val="false"/>
          <w:color w:val="000000"/>
          <w:sz w:val="22"/>
        </w:rPr>
        <w:t xml:space="preserve">Persons subject to the authority of the board under Iowa Code chapter </w:t>
      </w:r>
      <w:hyperlink r:id="rId17">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may first seek advice or guidance from the board concerning the legality of action or conduct potentially affected by Iowa Code chapter </w:t>
      </w:r>
      <w:hyperlink r:id="rId1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Persons may also seek board guidance concerning the application of a statute or rule under the board’s jurisdiction to a specific factual situation through the petition for declaratory order.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CONFLICT OF INTEREST AND MISUSE OF PROPERTY</w:t>
      </w:r>
    </w:p>
    <w:p>
      <w:pPr>
        <w:spacing w:before="0" w:after="0"/>
        <w:ind w:left="120"/>
        <w:jc w:val="both"/>
      </w:pPr>
      <w:r>
        <w:rPr>
          <w:rFonts w:ascii="Times New Roman" w:hAnsi="Times New Roman"/>
          <w:b/>
          <w:i w:val="false"/>
          <w:color w:val="000000"/>
          <w:sz w:val="22"/>
        </w:rPr>
        <w:t>351—6.5</w:t>
      </w:r>
      <w:r>
        <w:rPr>
          <w:rFonts w:ascii="Times New Roman" w:hAnsi="Times New Roman"/>
          <w:b/>
          <w:i w:val="false"/>
          <w:color w:val="000000"/>
          <w:sz w:val="22"/>
        </w:rPr>
        <w:t xml:space="preserve">(68B) </w:t>
      </w:r>
      <w:r>
        <w:rPr>
          <w:rFonts w:ascii="Times New Roman" w:hAnsi="Times New Roman"/>
          <w:b/>
          <w:i w:val="false"/>
          <w:color w:val="000000"/>
          <w:sz w:val="22"/>
        </w:rPr>
        <w:t xml:space="preserve">Dual executive branch compensation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Iowa Code section </w:t>
      </w:r>
      <w:hyperlink r:id="rId20">
        <w:r>
          <w:rPr>
            <w:rStyle w:val="Hyperlink"/>
            <w:rFonts w:ascii="Times New Roman" w:hAnsi="Times New Roman"/>
            <w:b w:val="false"/>
            <w:i w:val="false"/>
            <w:color w:val="000000"/>
            <w:sz w:val="22"/>
          </w:rPr>
          <w:t>68B.2B</w:t>
        </w:r>
      </w:hyperlink>
      <w:r>
        <w:rPr>
          <w:rFonts w:ascii="Times New Roman" w:hAnsi="Times New Roman"/>
          <w:b w:val="false"/>
          <w:i w:val="false"/>
          <w:color w:val="000000"/>
          <w:sz w:val="22"/>
        </w:rPr>
        <w:t xml:space="preserve"> and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“Employment with a second executive branch agency”</w:t>
      </w:r>
      <w:r>
        <w:rPr>
          <w:rFonts w:ascii="Times New Roman" w:hAnsi="Times New Roman"/>
          <w:b w:val="false"/>
          <w:i w:val="false"/>
          <w:color w:val="000000"/>
          <w:sz w:val="22"/>
        </w:rPr>
        <w:t> </w:t>
      </w:r>
      <w:r>
        <w:rPr>
          <w:rFonts w:ascii="Times New Roman" w:hAnsi="Times New Roman"/>
          <w:b w:val="false"/>
          <w:i w:val="false"/>
          <w:color w:val="000000"/>
          <w:sz w:val="22"/>
        </w:rPr>
        <w:t>includes services provided as an independent contractor with another executive branch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branch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“agency of state government” or “state agency” as defined in Iowa Code section </w:t>
      </w:r>
      <w:hyperlink r:id="rId21">
        <w:r>
          <w:rPr>
            <w:rStyle w:val="Hyperlink"/>
            <w:rFonts w:ascii="Times New Roman" w:hAnsi="Times New Roman"/>
            <w:b w:val="false"/>
            <w:i w:val="false"/>
            <w:color w:val="000000"/>
            <w:sz w:val="22"/>
          </w:rPr>
          <w:t>68B.2(2)</w:t>
        </w:r>
      </w:hyperlink>
      <w:r>
        <w:rPr>
          <w:rFonts w:ascii="Times New Roman" w:hAnsi="Times New Roman"/>
          <w:b w:val="false"/>
          <w:i w:val="false"/>
          <w:color w:val="000000"/>
          <w:sz w:val="22"/>
        </w:rPr>
        <w:t xml:space="preserve">. However, the legislative branch is not considered an agency of state government or state agency for purposes of Iowa Code section </w:t>
      </w:r>
      <w:hyperlink r:id="rId22">
        <w:r>
          <w:rPr>
            <w:rStyle w:val="Hyperlink"/>
            <w:rFonts w:ascii="Times New Roman" w:hAnsi="Times New Roman"/>
            <w:b w:val="false"/>
            <w:i w:val="false"/>
            <w:color w:val="000000"/>
            <w:sz w:val="22"/>
          </w:rPr>
          <w:t>68B.2B</w:t>
        </w:r>
      </w:hyperlink>
      <w:r>
        <w:rPr>
          <w:rFonts w:ascii="Times New Roman" w:hAnsi="Times New Roman"/>
          <w:b w:val="false"/>
          <w:i w:val="false"/>
          <w:color w:val="000000"/>
          <w:sz w:val="22"/>
        </w:rPr>
        <w:t xml:space="preserve"> or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prohibition on receiving simultaneous compensation from more than one executive branch agency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Employment with any governmental entity other than simultaneous employment with two or more executive branch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in the Iowa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official or employee who is interchanged from one executive branch agency to another executive branch agency pursuant to Iowa Code chapter </w:t>
      </w:r>
      <w:hyperlink r:id="rId23">
        <w:r>
          <w:rPr>
            <w:rStyle w:val="Hyperlink"/>
            <w:rFonts w:ascii="Times New Roman" w:hAnsi="Times New Roman"/>
            <w:b w:val="false"/>
            <w:i w:val="false"/>
            <w:color w:val="000000"/>
            <w:sz w:val="22"/>
          </w:rPr>
          <w:t>28D</w:t>
        </w:r>
      </w:hyperlink>
      <w:r>
        <w:rPr>
          <w:rFonts w:ascii="Times New Roman" w:hAnsi="Times New Roman"/>
          <w:b w:val="false"/>
          <w:i w:val="false"/>
          <w:color w:val="000000"/>
          <w:sz w:val="22"/>
        </w:rPr>
        <w:t xml:space="preserve"> unless the official or employee is simultaneously receiving compensation from both the receiving agency and the sending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Serving on the board, commission, or authority of two or more executive branch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Reporting form. </w:t>
      </w:r>
      <w:r>
        <w:rPr>
          <w:rFonts w:ascii="Times New Roman" w:hAnsi="Times New Roman"/>
          <w:b w:val="false"/>
          <w:i w:val="false"/>
          <w:color w:val="000000"/>
          <w:sz w:val="22"/>
        </w:rPr>
        <w:t>An official or employee of the executive branch who accepts simultaneous employment with another executive branch agency will file Form Dual-Comp within 20 business days of accepting employment with the second executive branch agency. The form will be filed with the board. The failure to timely file Form Dual-Comp may subject the executive branch official or employee to board sanctions.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68B.2B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351—6.6</w:t>
      </w:r>
      <w:r>
        <w:rPr>
          <w:rFonts w:ascii="Times New Roman" w:hAnsi="Times New Roman"/>
          <w:b/>
          <w:i w:val="false"/>
          <w:color w:val="000000"/>
          <w:sz w:val="22"/>
        </w:rPr>
        <w:t xml:space="preserve">(68B) </w:t>
      </w:r>
      <w:r>
        <w:rPr>
          <w:rFonts w:ascii="Times New Roman" w:hAnsi="Times New Roman"/>
          <w:b/>
          <w:i w:val="false"/>
          <w:color w:val="000000"/>
          <w:sz w:val="22"/>
        </w:rPr>
        <w:t xml:space="preserve">Misuse of public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public property. </w:t>
      </w:r>
      <w:r>
        <w:rPr>
          <w:rFonts w:ascii="Times New Roman" w:hAnsi="Times New Roman"/>
          <w:b w:val="false"/>
          <w:i w:val="false"/>
          <w:color w:val="000000"/>
          <w:sz w:val="22"/>
        </w:rPr>
        <w:t>“Public property” means any real or personal property owned or controlled by the state of Iowa, including but not limited to buildings, facilities, equipment, supplies, funds, records, files,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Prohibited uses. </w:t>
      </w:r>
      <w:r>
        <w:rPr>
          <w:rFonts w:ascii="Times New Roman" w:hAnsi="Times New Roman"/>
          <w:b w:val="false"/>
          <w:i w:val="false"/>
          <w:color w:val="000000"/>
          <w:sz w:val="22"/>
        </w:rPr>
        <w:t>The following are deemed to be the misuse of public property by an official, employee, or candidate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public property to engage in an outside employment or activity that leads to an unacceptable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public property for personal financial gain. This prohibition does not apply to the receipt of lawful compensation for the performance of official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Using public property for a personal benefit to the detriment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Using public property to engage in political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SALES OR LEASES OF GOODS, REAL ESTATE, OR SERVICES</w:t>
      </w:r>
    </w:p>
    <w:p>
      <w:pPr>
        <w:spacing w:before="0" w:after="0"/>
        <w:ind w:left="120"/>
        <w:jc w:val="both"/>
      </w:pPr>
      <w:r>
        <w:rPr>
          <w:rFonts w:ascii="Times New Roman" w:hAnsi="Times New Roman"/>
          <w:b/>
          <w:i w:val="false"/>
          <w:color w:val="000000"/>
          <w:sz w:val="22"/>
        </w:rPr>
        <w:t>351—6.7</w:t>
      </w:r>
      <w:r>
        <w:rPr>
          <w:rFonts w:ascii="Times New Roman" w:hAnsi="Times New Roman"/>
          <w:b/>
          <w:i w:val="false"/>
          <w:color w:val="000000"/>
          <w:sz w:val="22"/>
        </w:rPr>
        <w:t xml:space="preserve">(68B) </w:t>
      </w:r>
      <w:r>
        <w:rPr>
          <w:rFonts w:ascii="Times New Roman" w:hAnsi="Times New Roman"/>
          <w:b/>
          <w:i w:val="false"/>
          <w:color w:val="000000"/>
          <w:sz w:val="22"/>
        </w:rPr>
        <w:t xml:space="preserve">Prohibition on sales; when public bids required—disclosure of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An official or employee will not sell, in any one occurrence, goods or services having a value in excess of $2,000 to a state agency unless the sale is made pursuant to an award or contract let after public notice and competitive bidding and the official or employee making the sale files Form Public Bid with the board within 20 days of making the sale. This prohibition includes sales to the state agency in which the official or employee serves or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prohibition in Iowa Code section </w:t>
      </w:r>
      <w:hyperlink r:id="rId26">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and this rule will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of goods or services done as part of the official’s or employee’s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goods or services by a member of a board or commission to state executive branch agencies or subunits of departments or independent agencies that are not the subunit of the department or independent agency in which the person serves or are not a subunit of a department or independent agency with which the person has substantial and regular contact as part of the person’s duties. “Board” and “commission” as used in this rule mean the same as defined in Iowa Code section </w:t>
      </w:r>
      <w:hyperlink r:id="rId27">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publication of resolutions, advertisements, or other legal propositions or notices in newspapers designated by law for the publication of such materials and for which publication rates are fixed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Instruction at an accredited educational institution if the official or employee meets the minimum education and licensing requirements established for other instructors at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contract for professional services that is exempt from competitive bidding requirements under any provision in the Iowa Code or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w:t>
      </w:r>
      <w:r>
        <w:rPr>
          <w:rFonts w:ascii="Times New Roman" w:hAnsi="Times New Roman"/>
          <w:b w:val="false"/>
          <w:i w:val="false"/>
          <w:color w:val="000000"/>
          <w:sz w:val="22"/>
        </w:rPr>
        <w:t> </w:t>
      </w:r>
      <w:r>
        <w:rPr>
          <w:rFonts w:ascii="Times New Roman" w:hAnsi="Times New Roman"/>
          <w:b w:val="false"/>
          <w:i/>
          <w:color w:val="000000"/>
          <w:sz w:val="22"/>
        </w:rPr>
        <w:t xml:space="preserve">Sales to political subdivisions. </w:t>
      </w:r>
      <w:r>
        <w:rPr>
          <w:rFonts w:ascii="Times New Roman" w:hAnsi="Times New Roman"/>
          <w:b w:val="false"/>
          <w:i w:val="false"/>
          <w:color w:val="000000"/>
          <w:sz w:val="22"/>
        </w:rPr>
        <w:t xml:space="preserve">An official who sells goods or services to a political subdivision of the state will disclose on the official’s Form PFD as provided in </w:t>
      </w:r>
      <w:hyperlink r:id="rId28">
        <w:r>
          <w:rPr>
            <w:rStyle w:val="Hyperlink"/>
            <w:rFonts w:ascii="Times New Roman" w:hAnsi="Times New Roman"/>
            <w:b w:val="false"/>
            <w:i w:val="false"/>
            <w:color w:val="000000"/>
            <w:sz w:val="22"/>
          </w:rPr>
          <w:t>351—Chapter 7</w:t>
        </w:r>
      </w:hyperlink>
      <w:r>
        <w:rPr>
          <w:rFonts w:ascii="Times New Roman" w:hAnsi="Times New Roman"/>
          <w:b w:val="false"/>
          <w:i w:val="false"/>
          <w:color w:val="000000"/>
          <w:sz w:val="22"/>
        </w:rPr>
        <w:t xml:space="preserve"> if income was received from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w:t>
      </w:r>
      <w:r>
        <w:rPr>
          <w:rFonts w:ascii="Times New Roman" w:hAnsi="Times New Roman"/>
          <w:b w:val="false"/>
          <w:i w:val="false"/>
          <w:color w:val="000000"/>
          <w:sz w:val="22"/>
        </w:rPr>
        <w:t> </w:t>
      </w:r>
      <w:r>
        <w:rPr>
          <w:rFonts w:ascii="Times New Roman" w:hAnsi="Times New Roman"/>
          <w:b w:val="false"/>
          <w:i/>
          <w:color w:val="000000"/>
          <w:sz w:val="22"/>
        </w:rPr>
        <w:t xml:space="preserve">Filing of report. </w:t>
      </w:r>
      <w:r>
        <w:rPr>
          <w:rFonts w:ascii="Times New Roman" w:hAnsi="Times New Roman"/>
          <w:b w:val="false"/>
          <w:i w:val="false"/>
          <w:color w:val="000000"/>
          <w:sz w:val="22"/>
        </w:rPr>
        <w:t xml:space="preserve">An official or employee making a sale to a state agency pursuant to Iowa Code section </w:t>
      </w:r>
      <w:hyperlink r:id="rId29">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will file Form Public Bid within 20 days of making the sale. The failure to timely file Form Public Bid with the board within 20 days of making the sale may subject the official or employee to board sanctions under Iowa Code chapter </w:t>
      </w:r>
      <w:hyperlink r:id="rId30">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31">
        <w:r>
          <w:rPr>
            <w:rStyle w:val="Hyperlink"/>
            <w:rFonts w:ascii="Times New Roman" w:hAnsi="Times New Roman"/>
            <w:b w:val="false"/>
            <w:i w:val="false"/>
            <w:color w:val="000000"/>
            <w:sz w:val="22"/>
          </w:rPr>
          <w:t>351—9.3</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w:t>
      </w:r>
      <w:r>
        <w:rPr>
          <w:rFonts w:ascii="Times New Roman" w:hAnsi="Times New Roman"/>
          <w:b w:val="false"/>
          <w:i w:val="false"/>
          <w:color w:val="000000"/>
          <w:sz w:val="22"/>
        </w:rPr>
        <w:t> </w:t>
      </w:r>
      <w:r>
        <w:rPr>
          <w:rFonts w:ascii="Times New Roman" w:hAnsi="Times New Roman"/>
          <w:b w:val="false"/>
          <w:i/>
          <w:color w:val="000000"/>
          <w:sz w:val="22"/>
        </w:rPr>
        <w:t xml:space="preserve">Use of confidential information. </w:t>
      </w:r>
      <w:r>
        <w:rPr>
          <w:rFonts w:ascii="Times New Roman" w:hAnsi="Times New Roman"/>
          <w:b w:val="false"/>
          <w:i w:val="false"/>
          <w:color w:val="000000"/>
          <w:sz w:val="22"/>
        </w:rPr>
        <w:t>No official or employee will disclose or use confidential information, including the contents of a sealed bid acquired during the course of the official’s or employee’s state duties, for the personal gain or benefit of any person. This rule does not apply to the release of information that is mandated by law, rule, or court order.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351—6.8</w:t>
      </w:r>
      <w:r>
        <w:rPr>
          <w:rFonts w:ascii="Times New Roman" w:hAnsi="Times New Roman"/>
          <w:b/>
          <w:i w:val="false"/>
          <w:color w:val="000000"/>
          <w:sz w:val="22"/>
        </w:rPr>
        <w:t xml:space="preserve">(68B) </w:t>
      </w:r>
      <w:r>
        <w:rPr>
          <w:rFonts w:ascii="Times New Roman" w:hAnsi="Times New Roman"/>
          <w:b/>
          <w:i w:val="false"/>
          <w:color w:val="000000"/>
          <w:sz w:val="22"/>
        </w:rPr>
        <w:t xml:space="preserve">Sales or leases by regulatory agency officials or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An official or employee of a regulatory agency will not directly or indirectly sell or lease any goods, real estate, or services to individuals, associations, or corporations subject to the regulatory authority of the official’s or employee’s agency except as provided by Iowa Code section </w:t>
      </w:r>
      <w:hyperlink r:id="rId3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this rule. This prohibition does not apply to sales or leases that are part of the official’s or employee’s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a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 employee of an executive branch regulatory agency and does not include an independent contractor or an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statewide elected official of a regulatory agency, an executive or administrative head or heads of a regulatory agency, a deputy executive or administrative head or heads of a regulatory agency, a member of a board or commission as defined under Iowa Code section </w:t>
      </w:r>
      <w:hyperlink r:id="rId35">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or a head of a major subunit of a regulatory agency whose position involves a substantial exercise of administrative discretion or the expenditure of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“Regulatory agency”</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agriculture and land stewardship; department of workforce development; department of insurance and financial services; department of public safety; department of education; state board of regents; department of health and human services; department of revenue; department of inspections, appeals, and licensing; department of administrative services; public employment relations board; department of transportation; civil rights commission; department of public defense; department of homeland security and emergency management; Iowa ethics and campaign disclosure board; utilities commission; and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color w:val="000000"/>
          <w:sz w:val="22"/>
        </w:rPr>
        <w:t xml:space="preserve">Request for consent. </w:t>
      </w:r>
      <w:r>
        <w:rPr>
          <w:rFonts w:ascii="Times New Roman" w:hAnsi="Times New Roman"/>
          <w:b w:val="false"/>
          <w:i w:val="false"/>
          <w:color w:val="000000"/>
          <w:sz w:val="22"/>
        </w:rPr>
        <w:t>An official’s or employee’s request for an agency’s consent to the sale or lease of goods, real estate, or services will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will be in writing and will be filed with the official’s or employee’s agency at least 20 calendar days in advance of the proposed sale or lease of any goods, real estate,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association, or corporation to which the goods, real estate, or services are to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individual, association, or corporation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goods, real estate,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or dates that the goods, real estate, or services will be delivered;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by the official or employee explaining how the proposed sale or lease of the goods, real estate, or services will not violate the provisions of Iowa Code section </w:t>
      </w:r>
      <w:hyperlink r:id="rId3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or create a conflict of interest under Iowa Code section </w:t>
      </w:r>
      <w:hyperlink r:id="rId37">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color w:val="000000"/>
          <w:sz w:val="22"/>
        </w:rPr>
        <w:t xml:space="preserve">Agency guidelines. </w:t>
      </w:r>
      <w:r>
        <w:rPr>
          <w:rFonts w:ascii="Times New Roman" w:hAnsi="Times New Roman"/>
          <w:b w:val="false"/>
          <w:i w:val="false"/>
          <w:color w:val="000000"/>
          <w:sz w:val="22"/>
        </w:rPr>
        <w:t xml:space="preserve">Iowa Code section </w:t>
      </w:r>
      <w:hyperlink r:id="rId38">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the guidelines in this subrule will be the sole legal authorities to be used by an agency in considering the granting of consent. In determining whether to grant consent, the agency will take the following guidelines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official or employee seeking consent is not the person with the authority to determine whether consent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duties and functions performed by the official or employee seeking consent are not related to the regulatory authority of the agency over the individual, association, or corporation to which the goods, real estate, or services will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does not affect the official’s or employee’s duties or functions at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will not cause the official or employee to advocate on behalf of the individual, association, or corporation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does not cause the official or employee to sell or lease goods, real estate, or services to the agency on behalf of the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selling or leasing of the goods, real estate, or services will not result in a conflict of interest as provided in Iowa Code section </w:t>
      </w:r>
      <w:hyperlink r:id="rId39">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complies with the procedural requirements of subrule </w:t>
      </w:r>
      <w:hyperlink r:id="rId40">
        <w:r>
          <w:rPr>
            <w:rStyle w:val="Hyperlink"/>
            <w:rFonts w:ascii="Times New Roman" w:hAnsi="Times New Roman"/>
            <w:b w:val="false"/>
            <w:i w:val="false"/>
            <w:color w:val="000000"/>
            <w:sz w:val="22"/>
          </w:rPr>
          <w:t>6.8(3)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regulatory agency may grant blanket consent for sales or leases to classes of individuals, associations, or persons when such blanket consent is consistent with subrule </w:t>
      </w:r>
      <w:hyperlink r:id="rId41">
        <w:r>
          <w:rPr>
            <w:rStyle w:val="Hyperlink"/>
            <w:rFonts w:ascii="Times New Roman" w:hAnsi="Times New Roman"/>
            <w:b w:val="false"/>
            <w:i w:val="false"/>
            <w:color w:val="000000"/>
            <w:sz w:val="22"/>
          </w:rPr>
          <w:t>6.8(4)</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val="false"/>
          <w:i w:val="false"/>
          <w:color w:val="000000"/>
          <w:sz w:val="22"/>
        </w:rPr>
        <w:t>These guidelines will be publicized and made known to all personnel throughout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color w:val="000000"/>
          <w:sz w:val="22"/>
        </w:rPr>
        <w:t xml:space="preserve">Agency decision. </w:t>
      </w:r>
      <w:r>
        <w:rPr>
          <w:rFonts w:ascii="Times New Roman" w:hAnsi="Times New Roman"/>
          <w:b w:val="false"/>
          <w:i w:val="false"/>
          <w:color w:val="000000"/>
          <w:sz w:val="22"/>
        </w:rPr>
        <w:t>The official’s or employee’s agency will issue a written consent or denial within 14 calendar days following the date the request was filed. The deadline may be extended by agreement of both the official or employee and the agency. If the request is denied or granted conditionally, the agency will state the reasons for the denial or conditional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 xml:space="preserve">An official or employee who receives a denial or conditional consent may file a request with the board for a contested case proceeding pursuant to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a determination of whether the situation described in the request complies with the requirements of Iowa Code section </w:t>
      </w:r>
      <w:hyperlink r:id="rId43">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this rule. The final order of the board constitutes final agency action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w:t>
      </w:r>
      <w:r>
        <w:rPr>
          <w:rFonts w:ascii="Times New Roman" w:hAnsi="Times New Roman"/>
          <w:b w:val="false"/>
          <w:i w:val="false"/>
          <w:color w:val="000000"/>
          <w:sz w:val="22"/>
        </w:rPr>
        <w:t> </w:t>
      </w:r>
      <w:r>
        <w:rPr>
          <w:rFonts w:ascii="Times New Roman" w:hAnsi="Times New Roman"/>
          <w:b w:val="false"/>
          <w:i/>
          <w:color w:val="000000"/>
          <w:sz w:val="22"/>
        </w:rPr>
        <w:t xml:space="preserve">Copy of consent filed with board. </w:t>
      </w:r>
      <w:r>
        <w:rPr>
          <w:rFonts w:ascii="Times New Roman" w:hAnsi="Times New Roman"/>
          <w:b w:val="false"/>
          <w:i w:val="false"/>
          <w:color w:val="000000"/>
          <w:sz w:val="22"/>
        </w:rPr>
        <w:t xml:space="preserve">Pursuant to Iowa Code section </w:t>
      </w:r>
      <w:hyperlink r:id="rId45">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an agency granting consent will file a copy of the consent with the board within 20 days of the granting of consent. The board will treat the consent as a public record. The failure to provide a copy of the consent may result in the imposition of board sanctions against the individual who granted the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w:t>
      </w:r>
      <w:r>
        <w:rPr>
          <w:rFonts w:ascii="Times New Roman" w:hAnsi="Times New Roman"/>
          <w:b w:val="false"/>
          <w:i w:val="false"/>
          <w:color w:val="000000"/>
          <w:sz w:val="22"/>
        </w:rPr>
        <w:t> </w:t>
      </w:r>
      <w:r>
        <w:rPr>
          <w:rFonts w:ascii="Times New Roman" w:hAnsi="Times New Roman"/>
          <w:b w:val="false"/>
          <w:i/>
          <w:color w:val="000000"/>
          <w:sz w:val="22"/>
        </w:rPr>
        <w:t xml:space="preserve">Consent not a defense. </w:t>
      </w:r>
      <w:r>
        <w:rPr>
          <w:rFonts w:ascii="Times New Roman" w:hAnsi="Times New Roman"/>
          <w:b w:val="false"/>
          <w:i w:val="false"/>
          <w:color w:val="000000"/>
          <w:sz w:val="22"/>
        </w:rPr>
        <w:t>Consent granted by an agency under this rule will not constitute a defense to a complaint alleging a violation of any law or rule. It is the responsibility of the official or employee to ensure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351—6.9</w:t>
      </w:r>
      <w:r>
        <w:rPr>
          <w:rFonts w:ascii="Times New Roman" w:hAnsi="Times New Roman"/>
          <w:b/>
          <w:i w:val="false"/>
          <w:color w:val="000000"/>
          <w:sz w:val="22"/>
        </w:rPr>
        <w:t xml:space="preserve">(68B) </w:t>
      </w:r>
      <w:r>
        <w:rPr>
          <w:rFonts w:ascii="Times New Roman" w:hAnsi="Times New Roman"/>
          <w:b/>
          <w:i w:val="false"/>
          <w:color w:val="000000"/>
          <w:sz w:val="22"/>
        </w:rPr>
        <w:t xml:space="preserve">Sales or leases by members of the office of the governor.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A permanent full-time member of the office of the governor will not directly or indirectly sell or lease any goods or services to registered lobbyists before the general assembly or the executive branch or to individuals, associations, or corporations that employ persons who are registered lobbyists before the general assembly or the executive branch except as provided in Iowa Code section </w:t>
      </w:r>
      <w:hyperlink r:id="rId47">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xml:space="preserve"> and this rule. This prohibition does not apply to sales or leases that are part of the member’s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color w:val="000000"/>
          <w:sz w:val="22"/>
        </w:rPr>
        <w:t xml:space="preserve">Request for consent. </w:t>
      </w:r>
      <w:r>
        <w:rPr>
          <w:rFonts w:ascii="Times New Roman" w:hAnsi="Times New Roman"/>
          <w:b w:val="false"/>
          <w:i w:val="false"/>
          <w:color w:val="000000"/>
          <w:sz w:val="22"/>
        </w:rPr>
        <w:t>A request submitted by a member of the office of the governor for consent to sell or lease goods or services will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will be in writing and will be filed at least 20 calendar days in advance of the proposed sale or lease of any goods or services with the person responsible for hiring or approving the hiring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lobbyist, individual, association, or corporation to which the goods or services are to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lobbyist, individual, association, or corporation to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or dates that the goods or services will be delivered;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by the member explaining how the proposed sale or lease of the goods or services will not violate the provisions of Iowa Code section </w:t>
      </w:r>
      <w:hyperlink r:id="rId48">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xml:space="preserve"> or create a conflict of interest under Iowa Code section </w:t>
      </w:r>
      <w:hyperlink r:id="rId49">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color w:val="000000"/>
          <w:sz w:val="22"/>
        </w:rPr>
        <w:t xml:space="preserve">Guidelines for granting consent. </w:t>
      </w:r>
      <w:r>
        <w:rPr>
          <w:rFonts w:ascii="Times New Roman" w:hAnsi="Times New Roman"/>
          <w:b w:val="false"/>
          <w:i w:val="false"/>
          <w:color w:val="000000"/>
          <w:sz w:val="22"/>
        </w:rPr>
        <w:t>In determining whether to grant consent, the person responsible for hiring or approving the hiring of the member will take the following guidelines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duties and functions performed by the member are not related to the authority of the office of the governor over the lobbyist,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goods or services by the member to the lobbyist, individual, association, or corporation does not affect the member’s duties or functions at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any goods or services by the member to a lobbyist, individual, association, or corporation does not include lobbying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any goods or services by the member does not cause the member to sell or lease goods or services to the office of the governor on behalf of the lobbyist,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selling or leasing of the goods or services will not result in a conflict of interest as provided in Iowa Code section </w:t>
      </w:r>
      <w:hyperlink r:id="rId50">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complies with the procedural requirements of subrule </w:t>
      </w:r>
      <w:hyperlink r:id="rId51">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blanket consent may be granted for sales or leases to classes of lobbyists, individuals, associations, or corporations when such blanket consent is consistent with subrule </w:t>
      </w:r>
      <w:hyperlink r:id="rId52">
        <w:r>
          <w:rPr>
            <w:rStyle w:val="Hyperlink"/>
            <w:rFonts w:ascii="Times New Roman" w:hAnsi="Times New Roman"/>
            <w:b w:val="false"/>
            <w:i w:val="false"/>
            <w:color w:val="000000"/>
            <w:sz w:val="22"/>
          </w:rPr>
          <w:t>6.9(3)</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val="false"/>
          <w:i w:val="false"/>
          <w:color w:val="000000"/>
          <w:sz w:val="22"/>
        </w:rPr>
        <w:t>These guidelines will be publicized and made known to members of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person responsible for hiring or approving the hiring of the member will issue a written consent or denial within 14 calendar days following the date the request was filed. The deadline may be extended by agreement of both the member and the person. If the request is denied, the person will state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 xml:space="preserve">A member who receives a denial may file a request with the board for a contested case proceeding pursuant to Iowa Code chapter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a determination of whether the situation described in the request complies with the requirements of Iowa Code chapter </w:t>
      </w:r>
      <w:hyperlink r:id="rId54">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The final order of the board constitutes final agency action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w:t>
      </w:r>
      <w:r>
        <w:rPr>
          <w:rFonts w:ascii="Times New Roman" w:hAnsi="Times New Roman"/>
          <w:b w:val="false"/>
          <w:i w:val="false"/>
          <w:color w:val="000000"/>
          <w:sz w:val="22"/>
        </w:rPr>
        <w:t> </w:t>
      </w:r>
      <w:r>
        <w:rPr>
          <w:rFonts w:ascii="Times New Roman" w:hAnsi="Times New Roman"/>
          <w:b w:val="false"/>
          <w:i/>
          <w:color w:val="000000"/>
          <w:sz w:val="22"/>
        </w:rPr>
        <w:t xml:space="preserve">Copy of consent filed with board. </w:t>
      </w:r>
      <w:r>
        <w:rPr>
          <w:rFonts w:ascii="Times New Roman" w:hAnsi="Times New Roman"/>
          <w:b w:val="false"/>
          <w:i w:val="false"/>
          <w:color w:val="000000"/>
          <w:sz w:val="22"/>
        </w:rPr>
        <w:t>A copy of the consent granted to a member will be filed with the board within 20 days of the granting of consent. The board will treat the consent as a public record. The failure to provide a copy of the consent may result in the imposition of board sanctions against the person who granted the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w:t>
      </w:r>
      <w:r>
        <w:rPr>
          <w:rFonts w:ascii="Times New Roman" w:hAnsi="Times New Roman"/>
          <w:b w:val="false"/>
          <w:i w:val="false"/>
          <w:color w:val="000000"/>
          <w:sz w:val="22"/>
        </w:rPr>
        <w:t> </w:t>
      </w:r>
      <w:r>
        <w:rPr>
          <w:rFonts w:ascii="Times New Roman" w:hAnsi="Times New Roman"/>
          <w:b w:val="false"/>
          <w:i/>
          <w:color w:val="000000"/>
          <w:sz w:val="22"/>
        </w:rPr>
        <w:t xml:space="preserve">Consent not a defense. </w:t>
      </w:r>
      <w:r>
        <w:rPr>
          <w:rFonts w:ascii="Times New Roman" w:hAnsi="Times New Roman"/>
          <w:b w:val="false"/>
          <w:i w:val="false"/>
          <w:color w:val="000000"/>
          <w:sz w:val="22"/>
        </w:rPr>
        <w:t>Consent granted under this rule will not constitute a defense to a complaint alleging a violation of any law or rule. It is the responsibility of the member of the office of the governor to ensure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EMPLOYMENT RESTRICTIONS</w:t>
      </w:r>
    </w:p>
    <w:p>
      <w:pPr>
        <w:spacing w:before="0" w:after="0"/>
        <w:ind w:left="120"/>
        <w:jc w:val="both"/>
      </w:pPr>
      <w:r>
        <w:rPr>
          <w:rFonts w:ascii="Times New Roman" w:hAnsi="Times New Roman"/>
          <w:b/>
          <w:i w:val="false"/>
          <w:color w:val="000000"/>
          <w:sz w:val="22"/>
        </w:rPr>
        <w:t>351—6.10</w:t>
      </w:r>
      <w:r>
        <w:rPr>
          <w:rFonts w:ascii="Times New Roman" w:hAnsi="Times New Roman"/>
          <w:b/>
          <w:i w:val="false"/>
          <w:color w:val="000000"/>
          <w:sz w:val="22"/>
        </w:rPr>
        <w:t xml:space="preserve">(68B) </w:t>
      </w:r>
      <w:r>
        <w:rPr>
          <w:rFonts w:ascii="Times New Roman" w:hAnsi="Times New Roman"/>
          <w:b/>
          <w:i w:val="false"/>
          <w:color w:val="000000"/>
          <w:sz w:val="22"/>
        </w:rPr>
        <w:t xml:space="preserve">Engaging in services against the interest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Public officials and employees. </w:t>
      </w:r>
      <w:r>
        <w:rPr>
          <w:rFonts w:ascii="Times New Roman" w:hAnsi="Times New Roman"/>
          <w:b w:val="false"/>
          <w:i w:val="false"/>
          <w:color w:val="000000"/>
          <w:sz w:val="22"/>
        </w:rPr>
        <w:t xml:space="preserve">Except for a member of a board or commission, no official or employee will receive compensation in any form, or enter into any type of agreement to receive compensation in any form, to appear on behalf of any person or otherwise render services against the interest of the state except as set out in Iowa Code section </w:t>
      </w:r>
      <w:hyperlink r:id="rId56">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 xml:space="preserve"> and this rule. This prohibition relates to any case, proceeding, application, or other matter before any federal court, federal bureau, federal agency, federal commission, federal department, any agency of state government, or any court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a policymaking body that has the power to hear contested cases or a policymaking body that has powers for both rulemaking and hearing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a policymaking body that has rulemaking powers.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Member of board or commission. </w:t>
      </w:r>
      <w:r>
        <w:rPr>
          <w:rFonts w:ascii="Times New Roman" w:hAnsi="Times New Roman"/>
          <w:b w:val="false"/>
          <w:i w:val="false"/>
          <w:color w:val="000000"/>
          <w:sz w:val="22"/>
        </w:rPr>
        <w:t>No member of a board or commission will receive compensation in any form, or enter into any type of agreement to receive compensation in any form, to appear on behalf of any person or otherwise render services against the interest of the state in relation to any case, proceeding, application, or other matter before the subunit of a state agency in which the member serves or is employed, or with which the member has substantial and regular contact as part of the member’s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Exception for attorney general and public defender. </w:t>
      </w:r>
      <w:r>
        <w:rPr>
          <w:rFonts w:ascii="Times New Roman" w:hAnsi="Times New Roman"/>
          <w:b w:val="false"/>
          <w:i w:val="false"/>
          <w:color w:val="000000"/>
          <w:sz w:val="22"/>
        </w:rPr>
        <w:t xml:space="preserve">Officials and employees carrying out the official duties of the office of the attorney general or the office of the state public defender are not subject to the provisions of Iowa Code section </w:t>
      </w:r>
      <w:hyperlink r:id="rId57">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 xml:space="preserve"> or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GIFTS AND OFFERS</w:t>
      </w:r>
    </w:p>
    <w:p>
      <w:pPr>
        <w:spacing w:before="0" w:after="0"/>
        <w:ind w:left="120"/>
        <w:jc w:val="both"/>
      </w:pPr>
      <w:r>
        <w:rPr>
          <w:rFonts w:ascii="Times New Roman" w:hAnsi="Times New Roman"/>
          <w:b/>
          <w:i w:val="false"/>
          <w:color w:val="000000"/>
          <w:sz w:val="22"/>
        </w:rPr>
        <w:t>351—6.11</w:t>
      </w:r>
      <w:r>
        <w:rPr>
          <w:rFonts w:ascii="Times New Roman" w:hAnsi="Times New Roman"/>
          <w:b/>
          <w:i w:val="false"/>
          <w:color w:val="000000"/>
          <w:sz w:val="22"/>
        </w:rPr>
        <w:t xml:space="preserve">(68B) </w:t>
      </w:r>
      <w:r>
        <w:rPr>
          <w:rFonts w:ascii="Times New Roman" w:hAnsi="Times New Roman"/>
          <w:b/>
          <w:i w:val="false"/>
          <w:color w:val="000000"/>
          <w:sz w:val="22"/>
        </w:rPr>
        <w:t xml:space="preserve">Prohibition on receipt of an honorarium.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“Honorarium”</w:t>
      </w:r>
      <w:r>
        <w:rPr>
          <w:rFonts w:ascii="Times New Roman" w:hAnsi="Times New Roman"/>
          <w:b w:val="false"/>
          <w:i w:val="false"/>
          <w:color w:val="000000"/>
          <w:sz w:val="22"/>
        </w:rPr>
        <w:t> </w:t>
      </w:r>
      <w:r>
        <w:rPr>
          <w:rFonts w:ascii="Times New Roman" w:hAnsi="Times New Roman"/>
          <w:b w:val="false"/>
          <w:i w:val="false"/>
          <w:color w:val="000000"/>
          <w:sz w:val="22"/>
        </w:rPr>
        <w:t>means a payment of compensation or the giving of anything of value to an official or employee in relation to a speaking engagement.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donor”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9">
        <w:r>
          <w:rPr>
            <w:rStyle w:val="Hyperlink"/>
            <w:rFonts w:ascii="Times New Roman" w:hAnsi="Times New Roman"/>
            <w:b w:val="false"/>
            <w:i w:val="false"/>
            <w:color w:val="000000"/>
            <w:sz w:val="22"/>
          </w:rPr>
          <w:t>68B.2(24)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An official or employee may receive and accept an honorarium provided that the honorarium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actual expenses for registration, food, beverages, travel, or lodging paid in return for participation on a panel or for a speaking engagement at a meeting. The expenses will relate directly to the day or days on which the official or employee has participation or speaking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a nonmonetary item or a series of nonmonetary items that the official or employee donates within 30 days of receipt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public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bona fide educational or charitable organization;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Items donated to the department of administrative services will be disposed of by assignment to state agencies for official use or by public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to an official or employee for services rendered as part of a bona fide private business, trade, or profession in which the official or employee is engaged so long as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payment is commensurate with the actual services rendered;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payment is being made due to a special expertise or other qualification the recipient possesses separate from the recipient’s status as a public official or public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Solicitation prohibited. </w:t>
      </w:r>
      <w:r>
        <w:rPr>
          <w:rFonts w:ascii="Times New Roman" w:hAnsi="Times New Roman"/>
          <w:b w:val="false"/>
          <w:i w:val="false"/>
          <w:color w:val="000000"/>
          <w:sz w:val="22"/>
        </w:rPr>
        <w:t>An official or employee will not solicit, demand, or otherwise request an honorarium from a restricted donor.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68B.23</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351—6.12</w:t>
      </w:r>
      <w:r>
        <w:rPr>
          <w:rFonts w:ascii="Times New Roman" w:hAnsi="Times New Roman"/>
          <w:b/>
          <w:i w:val="false"/>
          <w:color w:val="000000"/>
          <w:sz w:val="22"/>
        </w:rPr>
        <w:t xml:space="preserve">(68B) </w:t>
      </w:r>
      <w:r>
        <w:rPr>
          <w:rFonts w:ascii="Times New Roman" w:hAnsi="Times New Roman"/>
          <w:b/>
          <w:i w:val="false"/>
          <w:color w:val="000000"/>
          <w:sz w:val="22"/>
        </w:rPr>
        <w:t xml:space="preserve">Loans from executive branch lobbyists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branch lobbyist”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is registered as a lobbyist with the board or is an executive branch lobbyist as defined in rule </w:t>
      </w:r>
      <w:hyperlink r:id="rId62">
        <w:r>
          <w:rPr>
            <w:rStyle w:val="Hyperlink"/>
            <w:rFonts w:ascii="Times New Roman" w:hAnsi="Times New Roman"/>
            <w:b w:val="false"/>
            <w:i w:val="false"/>
            <w:color w:val="000000"/>
            <w:sz w:val="22"/>
          </w:rPr>
          <w:t>351—8.2</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“Loan”</w:t>
      </w:r>
      <w:r>
        <w:rPr>
          <w:rFonts w:ascii="Times New Roman" w:hAnsi="Times New Roman"/>
          <w:b w:val="false"/>
          <w:i w:val="false"/>
          <w:color w:val="000000"/>
          <w:sz w:val="22"/>
        </w:rPr>
        <w:t> </w:t>
      </w:r>
      <w:r>
        <w:rPr>
          <w:rFonts w:ascii="Times New Roman" w:hAnsi="Times New Roman"/>
          <w:b w:val="false"/>
          <w:i w:val="false"/>
          <w:color w:val="000000"/>
          <w:sz w:val="22"/>
        </w:rPr>
        <w:t>means a sum of money upon agreement, express or implied, to be repaid with or without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Offer of loan prohibited. </w:t>
      </w:r>
      <w:r>
        <w:rPr>
          <w:rFonts w:ascii="Times New Roman" w:hAnsi="Times New Roman"/>
          <w:b w:val="false"/>
          <w:i w:val="false"/>
          <w:color w:val="000000"/>
          <w:sz w:val="22"/>
        </w:rPr>
        <w:t>An executive branch lobbyist will not directly or indirectly offer or make a loan to an official, an employee, or a candidate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prohibitions in Iowa Code section </w:t>
      </w:r>
      <w:hyperlink r:id="rId63">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and this rule do not apply to a loan made in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loan made in the ordinary course of business. “Ordinary course of business” means the loan is made by a person regularly engaged in a business that makes loans to members of the public, and the finance charges and other terms of the loan are the same as or substantially similar to the finance charges and loan terms that are available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loan made to the campaign committee of a candidate for statewide office that is subject to the campaign laws in Iowa Code chapter </w:t>
      </w:r>
      <w:hyperlink r:id="rId6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[Filed 1/28/05, Notice 11/10/04—published 2/16/05, effective 3/23/05]</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5/23/05, Notice 3/16/05—published 6/22/05, effective 7/27/05]</w:t>
      </w:r>
    </w:p>
    <w:p>
      <w:pPr>
        <w:spacing w:before="0" w:after="0"/>
        <w:ind w:left="120"/>
        <w:jc w:val="center"/>
      </w:pPr>
      <w:r>
        <w:rPr>
          <w:rFonts w:ascii="Times New Roman" w:hAnsi="Times New Roman"/>
          <w:b w:val="false"/>
          <w:i w:val="false"/>
          <w:color w:val="000000"/>
          <w:sz w:val="21"/>
        </w:rPr>
        <w:t>[Filed without Notice 5/24/05—published 6/22/05, effective 7/27/05]</w:t>
      </w:r>
    </w:p>
    <w:p>
      <w:pPr>
        <w:spacing w:before="0" w:after="0"/>
        <w:ind w:left="120"/>
        <w:jc w:val="center"/>
      </w:pPr>
      <w:r>
        <w:rPr>
          <w:rFonts w:ascii="Times New Roman" w:hAnsi="Times New Roman"/>
          <w:b w:val="false"/>
          <w:i w:val="false"/>
          <w:color w:val="000000"/>
          <w:sz w:val="21"/>
        </w:rPr>
        <w:t>[Filed 2/8/06, Notice 12/21/05—published 3/1/06, effective 4/5/06]</w:t>
      </w:r>
    </w:p>
    <w:p>
      <w:pPr>
        <w:spacing w:before="0" w:after="0"/>
        <w:ind w:left="120"/>
        <w:jc w:val="center"/>
      </w:pPr>
      <w:r>
        <w:rPr>
          <w:rFonts w:ascii="Times New Roman" w:hAnsi="Times New Roman"/>
          <w:b w:val="false"/>
          <w:i w:val="false"/>
          <w:color w:val="000000"/>
          <w:sz w:val="21"/>
        </w:rPr>
        <w:t>[Filed 9/25/06, Notice 8/2/06—published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7/11/07—published 8/1/07, effective 9/5/07]</w:t>
      </w:r>
    </w:p>
    <w:p>
      <w:pPr>
        <w:spacing w:before="0" w:after="0"/>
        <w:ind w:left="120"/>
        <w:jc w:val="center"/>
      </w:pPr>
      <w:r>
        <w:rPr>
          <w:rFonts w:ascii="Times New Roman" w:hAnsi="Times New Roman"/>
          <w:b w:val="false"/>
          <w:i w:val="false"/>
          <w:color w:val="000000"/>
          <w:sz w:val="21"/>
        </w:rPr>
        <w:t>[Filed ARC 7649B</w:t>
      </w:r>
      <w:r>
        <w:rPr>
          <w:rFonts w:ascii="Times New Roman" w:hAnsi="Times New Roman"/>
          <w:b w:val="false"/>
          <w:i w:val="false"/>
          <w:color w:val="000000"/>
          <w:sz w:val="21"/>
        </w:rPr>
        <w:t xml:space="preserve"> (Notice ARC 7378B,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7650B</w:t>
      </w:r>
      <w:r>
        <w:rPr>
          <w:rFonts w:ascii="Times New Roman" w:hAnsi="Times New Roman"/>
          <w:b w:val="false"/>
          <w:i w:val="false"/>
          <w:color w:val="000000"/>
          <w:sz w:val="21"/>
        </w:rPr>
        <w:t xml:space="preserve"> (Notice ARC 7375B, IAB 12/3/08)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9035B</w:t>
      </w:r>
      <w:r>
        <w:rPr>
          <w:rFonts w:ascii="Times New Roman" w:hAnsi="Times New Roman"/>
          <w:b w:val="false"/>
          <w:i w:val="false"/>
          <w:color w:val="000000"/>
          <w:sz w:val="21"/>
        </w:rPr>
        <w:t xml:space="preserve"> (Notice ARC 8793B, IAB 6/2/10)</w:t>
      </w:r>
      <w:r>
        <w:rPr>
          <w:rFonts w:ascii="Times New Roman" w:hAnsi="Times New Roman"/>
          <w:b w:val="false"/>
          <w:i w:val="false"/>
          <w:color w:val="000000"/>
          <w:sz w:val="21"/>
        </w:rPr>
        <w:t>, IAB 8/25/10, effective 9/29/10]</w:t>
      </w:r>
      <w:r>
        <w:br/>
      </w:r>
      <w:r>
        <w:rPr>
          <w:rFonts w:ascii="Times New Roman" w:hAnsi="Times New Roman"/>
          <w:b w:val="false"/>
          <w:i w:val="false"/>
          <w:color w:val="000000"/>
          <w:sz w:val="21"/>
        </w:rPr>
        <w:t>[Filed ARC 9036B</w:t>
      </w:r>
      <w:r>
        <w:rPr>
          <w:rFonts w:ascii="Times New Roman" w:hAnsi="Times New Roman"/>
          <w:b w:val="false"/>
          <w:i w:val="false"/>
          <w:color w:val="000000"/>
          <w:sz w:val="21"/>
        </w:rPr>
        <w:t xml:space="preserve"> (Notice ARC 8794B,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6084C</w:t>
      </w:r>
      <w:r>
        <w:rPr>
          <w:rFonts w:ascii="Times New Roman" w:hAnsi="Times New Roman"/>
          <w:b w:val="false"/>
          <w:i w:val="false"/>
          <w:color w:val="000000"/>
          <w:sz w:val="21"/>
        </w:rPr>
        <w:t xml:space="preserve"> (Notice ARC 5888C, IAB 9/8/21)</w:t>
      </w:r>
      <w:r>
        <w:rPr>
          <w:rFonts w:ascii="Times New Roman" w:hAnsi="Times New Roman"/>
          <w:b w:val="false"/>
          <w:i w:val="false"/>
          <w:color w:val="000000"/>
          <w:sz w:val="21"/>
        </w:rPr>
        <w:t>, IAB 12/15/21, effective 2/1/22]</w:t>
      </w:r>
    </w:p>
    <w:p>
      <w:pPr>
        <w:spacing w:before="0" w:after="0"/>
        <w:ind w:left="120"/>
        <w:jc w:val="center"/>
      </w:pPr>
      <w:r>
        <w:rPr>
          <w:rFonts w:ascii="Times New Roman" w:hAnsi="Times New Roman"/>
          <w:b w:val="false"/>
          <w:i w:val="false"/>
          <w:color w:val="000000"/>
          <w:sz w:val="21"/>
        </w:rPr>
        <w:t>[Filed ARC 0237D</w:t>
      </w:r>
      <w:r>
        <w:rPr>
          <w:rFonts w:ascii="Times New Roman" w:hAnsi="Times New Roman"/>
          <w:b w:val="false"/>
          <w:i w:val="false"/>
          <w:color w:val="000000"/>
          <w:sz w:val="21"/>
        </w:rPr>
        <w:t xml:space="preserve"> (Notice ARC 0094D, IAB 3/4/26)</w:t>
      </w:r>
      <w:r>
        <w:rPr>
          <w:rFonts w:ascii="Times New Roman" w:hAnsi="Times New Roman"/>
          <w:b w:val="false"/>
          <w:i w:val="false"/>
          <w:color w:val="000000"/>
          <w:sz w:val="21"/>
        </w:rPr>
        <w:t>, IAB 4/29/26, effective 6/3/26]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6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32A.pdf" Type="http://schemas.openxmlformats.org/officeDocument/2006/relationships/hyperlink" Id="rId5"/>
    <Relationship TargetMode="External" Target="https://www.legis.iowa.gov/docs/ico/chapter/68B.32.pdf" Type="http://schemas.openxmlformats.org/officeDocument/2006/relationships/hyperlink" Id="rId6"/>
    <Relationship TargetMode="External" Target="https://www.legis.iowa.gov/docs/ico/chapter/68B.32A.pdf" Type="http://schemas.openxmlformats.org/officeDocument/2006/relationships/hyperlink" Id="rId7"/>
    <Relationship TargetMode="External" Target="https://www.legis.iowa.gov/docs/ico/chapter/7E.4.pdf" Type="http://schemas.openxmlformats.org/officeDocument/2006/relationships/hyperlink" Id="rId8"/>
    <Relationship TargetMode="External" Target="https://www.legis.iowa.gov/docs/ico/chapter/68B.2.pdf" Type="http://schemas.openxmlformats.org/officeDocument/2006/relationships/hyperlink" Id="rId9"/>
    <Relationship TargetMode="External" Target="https://www.legis.iowa.gov/docs/ico/chapter/68B.pdf" Type="http://schemas.openxmlformats.org/officeDocument/2006/relationships/hyperlink" Id="rId10"/>
    <Relationship TargetMode="External" Target="https://www.legis.iowa.gov/docs/ico/chapter/68B.pdf" Type="http://schemas.openxmlformats.org/officeDocument/2006/relationships/hyperlink" Id="rId11"/>
    <Relationship TargetMode="External" Target="https://www.legis.iowa.gov/docs/ico/chapter/68B.32B.pdf" Type="http://schemas.openxmlformats.org/officeDocument/2006/relationships/hyperlink" Id="rId12"/>
    <Relationship TargetMode="External" Target="https://www.legis.iowa.gov/docs/iac/chapter/351.9.pdf" Type="http://schemas.openxmlformats.org/officeDocument/2006/relationships/hyperlink" Id="rId13"/>
    <Relationship TargetMode="External" Target="https://www.legis.iowa.gov/docs/ico/chapter/68B.32D.pdf" Type="http://schemas.openxmlformats.org/officeDocument/2006/relationships/hyperlink" Id="rId14"/>
    <Relationship TargetMode="External" Target="https://www.legis.iowa.gov/docs/ico/chapter/68B.32A.pdf" Type="http://schemas.openxmlformats.org/officeDocument/2006/relationships/hyperlink" Id="rId15"/>
    <Relationship TargetMode="External" Target="https://www.legis.iowa.gov/docs/ico/chapter/68B.32B.pdf" Type="http://schemas.openxmlformats.org/officeDocument/2006/relationships/hyperlink" Id="rId16"/>
    <Relationship TargetMode="External" Target="https://www.legis.iowa.gov/docs/ico/chapter/68B.pdf" Type="http://schemas.openxmlformats.org/officeDocument/2006/relationships/hyperlink" Id="rId17"/>
    <Relationship TargetMode="External" Target="https://www.legis.iowa.gov/docs/ico/chapter/68B.pdf" Type="http://schemas.openxmlformats.org/officeDocument/2006/relationships/hyperlink" Id="rId18"/>
    <Relationship TargetMode="External" Target="https://www.legis.iowa.gov/docs/ico/chapter/68B.32A.pdf" Type="http://schemas.openxmlformats.org/officeDocument/2006/relationships/hyperlink" Id="rId19"/>
    <Relationship TargetMode="External" Target="https://www.legis.iowa.gov/docs/ico/chapter/68B.2B.pdf" Type="http://schemas.openxmlformats.org/officeDocument/2006/relationships/hyperlink" Id="rId20"/>
    <Relationship TargetMode="External" Target="https://www.legis.iowa.gov/docs/ico/chapter/68B.2.pdf" Type="http://schemas.openxmlformats.org/officeDocument/2006/relationships/hyperlink" Id="rId21"/>
    <Relationship TargetMode="External" Target="https://www.legis.iowa.gov/docs/ico/chapter/68B.2B.pdf" Type="http://schemas.openxmlformats.org/officeDocument/2006/relationships/hyperlink" Id="rId22"/>
    <Relationship TargetMode="External" Target="https://www.legis.iowa.gov/docs/ico/chapter/28D.pdf" Type="http://schemas.openxmlformats.org/officeDocument/2006/relationships/hyperlink" Id="rId23"/>
    <Relationship TargetMode="External" Target="https://www.legis.iowa.gov/docs/ico/chapter/68B.2B.pdf" Type="http://schemas.openxmlformats.org/officeDocument/2006/relationships/hyperlink" Id="rId24"/>
    <Relationship TargetMode="External" Target="https://www.legis.iowa.gov/docs/ico/chapter/68B.32A.pdf" Type="http://schemas.openxmlformats.org/officeDocument/2006/relationships/hyperlink" Id="rId25"/>
    <Relationship TargetMode="External" Target="https://www.legis.iowa.gov/docs/ico/chapter/68B.3.pdf" Type="http://schemas.openxmlformats.org/officeDocument/2006/relationships/hyperlink" Id="rId26"/>
    <Relationship TargetMode="External" Target="https://www.legis.iowa.gov/docs/ico/chapter/7E.4.pdf" Type="http://schemas.openxmlformats.org/officeDocument/2006/relationships/hyperlink" Id="rId27"/>
    <Relationship TargetMode="External" Target="https://www.legis.iowa.gov/docs/iac/chapter/351.7.pdf" Type="http://schemas.openxmlformats.org/officeDocument/2006/relationships/hyperlink" Id="rId28"/>
    <Relationship TargetMode="External" Target="https://www.legis.iowa.gov/docs/ico/chapter/68B.3.pdf" Type="http://schemas.openxmlformats.org/officeDocument/2006/relationships/hyperlink" Id="rId29"/>
    <Relationship TargetMode="External" Target="https://www.legis.iowa.gov/docs/ico/chapter/68B.pdf" Type="http://schemas.openxmlformats.org/officeDocument/2006/relationships/hyperlink" Id="rId30"/>
    <Relationship TargetMode="External" Target="https://www.legis.iowa.gov/docs/iac/rule/351.9.3.pdf" Type="http://schemas.openxmlformats.org/officeDocument/2006/relationships/hyperlink" Id="rId31"/>
    <Relationship TargetMode="External" Target="https://www.legis.iowa.gov/docs/ico/chapter/68B.32A.pdf" Type="http://schemas.openxmlformats.org/officeDocument/2006/relationships/hyperlink" Id="rId32"/>
    <Relationship TargetMode="External" Target="https://www.legis.iowa.gov/docs/ico/chapter/68B.3.pdf" Type="http://schemas.openxmlformats.org/officeDocument/2006/relationships/hyperlink" Id="rId33"/>
    <Relationship TargetMode="External" Target="https://www.legis.iowa.gov/docs/ico/chapter/68B.4.pdf" Type="http://schemas.openxmlformats.org/officeDocument/2006/relationships/hyperlink" Id="rId34"/>
    <Relationship TargetMode="External" Target="https://www.legis.iowa.gov/docs/ico/chapter/7E.4.pdf" Type="http://schemas.openxmlformats.org/officeDocument/2006/relationships/hyperlink" Id="rId35"/>
    <Relationship TargetMode="External" Target="https://www.legis.iowa.gov/docs/ico/chapter/68B.4.pdf" Type="http://schemas.openxmlformats.org/officeDocument/2006/relationships/hyperlink" Id="rId36"/>
    <Relationship TargetMode="External" Target="https://www.legis.iowa.gov/docs/ico/chapter/68B.2A.pdf" Type="http://schemas.openxmlformats.org/officeDocument/2006/relationships/hyperlink" Id="rId37"/>
    <Relationship TargetMode="External" Target="https://www.legis.iowa.gov/docs/ico/chapter/68B.4.pdf" Type="http://schemas.openxmlformats.org/officeDocument/2006/relationships/hyperlink" Id="rId38"/>
    <Relationship TargetMode="External" Target="https://www.legis.iowa.gov/docs/ico/chapter/68B.2A.pdf" Type="http://schemas.openxmlformats.org/officeDocument/2006/relationships/hyperlink" Id="rId39"/>
    <Relationship TargetMode="External" Target="https://www.legis.iowa.gov/docs/iac/rule/351.6.8.pdf" Type="http://schemas.openxmlformats.org/officeDocument/2006/relationships/hyperlink" Id="rId40"/>
    <Relationship TargetMode="External" Target="https://www.legis.iowa.gov/docs/iac/rule/351.6.8.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68B.2A.pdf" Type="http://schemas.openxmlformats.org/officeDocument/2006/relationships/hyperlink" Id="rId43"/>
    <Relationship TargetMode="External" Target="https://www.legis.iowa.gov/docs/ico/chapter/68B.4.pdf" Type="http://schemas.openxmlformats.org/officeDocument/2006/relationships/hyperlink" Id="rId44"/>
    <Relationship TargetMode="External" Target="https://www.legis.iowa.gov/docs/ico/chapter/68B.4.pdf" Type="http://schemas.openxmlformats.org/officeDocument/2006/relationships/hyperlink" Id="rId45"/>
    <Relationship TargetMode="External" Target="https://www.legis.iowa.gov/docs/ico/chapter/68B.4.pdf" Type="http://schemas.openxmlformats.org/officeDocument/2006/relationships/hyperlink" Id="rId46"/>
    <Relationship TargetMode="External" Target="https://www.legis.iowa.gov/docs/ico/chapter/68B.4B.pdf" Type="http://schemas.openxmlformats.org/officeDocument/2006/relationships/hyperlink" Id="rId47"/>
    <Relationship TargetMode="External" Target="https://www.legis.iowa.gov/docs/ico/chapter/68B.4B.pdf" Type="http://schemas.openxmlformats.org/officeDocument/2006/relationships/hyperlink" Id="rId48"/>
    <Relationship TargetMode="External" Target="https://www.legis.iowa.gov/docs/ico/chapter/68B.2A.pdf" Type="http://schemas.openxmlformats.org/officeDocument/2006/relationships/hyperlink" Id="rId49"/>
    <Relationship TargetMode="External" Target="https://www.legis.iowa.gov/docs/ico/chapter/68B.2A.pdf" Type="http://schemas.openxmlformats.org/officeDocument/2006/relationships/hyperlink" Id="rId50"/>
    <Relationship TargetMode="External" Target="https://www.legis.iowa.gov/docs/iac/rule/351.6.9.pdf" Type="http://schemas.openxmlformats.org/officeDocument/2006/relationships/hyperlink" Id="rId51"/>
    <Relationship TargetMode="External" Target="https://www.legis.iowa.gov/docs/iac/rule/351.6.9.pdf"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68B.pdf" Type="http://schemas.openxmlformats.org/officeDocument/2006/relationships/hyperlink" Id="rId54"/>
    <Relationship TargetMode="External" Target="https://www.legis.iowa.gov/docs/ico/chapter/68B.4B.pdf" Type="http://schemas.openxmlformats.org/officeDocument/2006/relationships/hyperlink" Id="rId55"/>
    <Relationship TargetMode="External" Target="https://www.legis.iowa.gov/docs/ico/chapter/68B.6.pdf" Type="http://schemas.openxmlformats.org/officeDocument/2006/relationships/hyperlink" Id="rId56"/>
    <Relationship TargetMode="External" Target="https://www.legis.iowa.gov/docs/ico/chapter/68B.6.pdf" Type="http://schemas.openxmlformats.org/officeDocument/2006/relationships/hyperlink" Id="rId57"/>
    <Relationship TargetMode="External" Target="https://www.legis.iowa.gov/docs/ico/chapter/68B.6.pdf" Type="http://schemas.openxmlformats.org/officeDocument/2006/relationships/hyperlink" Id="rId58"/>
    <Relationship TargetMode="External" Target="https://www.legis.iowa.gov/docs/ico/chapter/68B.2.pdf" Type="http://schemas.openxmlformats.org/officeDocument/2006/relationships/hyperlink" Id="rId59"/>
    <Relationship TargetMode="External" Target="https://www.legis.iowa.gov/docs/ico/chapter/68B.23.pdf" Type="http://schemas.openxmlformats.org/officeDocument/2006/relationships/hyperlink" Id="rId60"/>
    <Relationship TargetMode="External" Target="https://www.legis.iowa.gov/docs/ico/chapter/68B.32A.pdf" Type="http://schemas.openxmlformats.org/officeDocument/2006/relationships/hyperlink" Id="rId61"/>
    <Relationship TargetMode="External" Target="https://www.legis.iowa.gov/docs/iac/rule/351.8.2.pdf" Type="http://schemas.openxmlformats.org/officeDocument/2006/relationships/hyperlink" Id="rId62"/>
    <Relationship TargetMode="External" Target="https://www.legis.iowa.gov/docs/ico/chapter/68B.24.pdf" Type="http://schemas.openxmlformats.org/officeDocument/2006/relationships/hyperlink" Id="rId63"/>
    <Relationship TargetMode="External" Target="https://www.legis.iowa.gov/docs/ico/chapter/68A.pdf" Type="http://schemas.openxmlformats.org/officeDocument/2006/relationships/hyperlink" Id="rId64"/>
    <Relationship TargetMode="External" Target="https://www.legis.iowa.gov/docs/ico/chapter/68B.24.pdf" Type="http://schemas.openxmlformats.org/officeDocument/2006/relationships/hyperlink" Id="rId65"/>
    <Relationship TargetMode="External" Target="https://www.legis.iowa.gov/docs/ico/chapter/68B.32A.pdf" Type="http://schemas.openxmlformats.org/officeDocument/2006/relationships/hyperlink" Id="rId66"/>
    <Relationship Target="footer.xml" Type="http://schemas.openxmlformats.org/officeDocument/2006/relationships/footer" Id="rId6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