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USE OF PUBLIC RESOURCES FOR A POLITICAL PURPOSE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6/3/31</w:t>
      </w:r>
    </w:p>
    <w:p>
      <w:pPr>
        <w:spacing w:before="0" w:after="0"/>
        <w:ind w:left="120"/>
        <w:jc w:val="both"/>
      </w:pPr>
      <w:r>
        <w:rPr>
          <w:rFonts w:ascii="Times New Roman" w:hAnsi="Times New Roman"/>
          <w:b/>
          <w:i w:val="false"/>
          <w:color w:val="000000"/>
          <w:sz w:val="22"/>
        </w:rPr>
        <w:t>351—5.1</w:t>
      </w:r>
      <w:r>
        <w:rPr>
          <w:rFonts w:ascii="Times New Roman" w:hAnsi="Times New Roman"/>
          <w:b/>
          <w:i w:val="false"/>
          <w:color w:val="000000"/>
          <w:sz w:val="22"/>
        </w:rPr>
        <w:t xml:space="preserve">(68A)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This chapter outlines the permissible and impermissible uses of public resources for a political purpose pursuant to Iowa Code section </w:t>
      </w:r>
      <w:hyperlink r:id="rId5">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xml:space="preserve"> and board interpretations of the statute. For the purposes of this chapter, the board will construe the phrase “expenditure of public moneys for political purposes” broadly to include the use of public resources generally.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351—5.2</w:t>
      </w:r>
      <w:r>
        <w:rPr>
          <w:rFonts w:ascii="Times New Roman" w:hAnsi="Times New Roman"/>
          <w:b/>
          <w:i w:val="false"/>
          <w:color w:val="000000"/>
          <w:sz w:val="22"/>
        </w:rPr>
        <w:t xml:space="preserve">(68A) </w:t>
      </w:r>
      <w:r>
        <w:rPr>
          <w:rFonts w:ascii="Times New Roman" w:hAnsi="Times New Roman"/>
          <w:b/>
          <w:i w:val="false"/>
          <w:color w:val="000000"/>
          <w:sz w:val="22"/>
        </w:rPr>
        <w:t xml:space="preserve">General prohibition and applicability. </w:t>
      </w:r>
      <w:r>
        <w:rPr>
          <w:rFonts w:ascii="Times New Roman" w:hAnsi="Times New Roman"/>
          <w:b w:val="false"/>
          <w:i w:val="false"/>
          <w:color w:val="000000"/>
          <w:sz w:val="22"/>
        </w:rPr>
        <w:t>The public officials and employees of the executive branch of state government, a county, a city, a public school, or other political subdivision shall not permit public resources to be used to expressly advocate the nomination, election, or defeat of a candidate or to expressly advocate the passage or defeat of a ballot issue. This chapter applies to the use of resources that belong to those political subdivisions by state and local campaigns in Iowa. This chapter does not apply to property belonging to the federal government or to the use of the executive branch of state government, a county, a city, a public school, or other political subdivision by a federal campaign.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351—5.3</w:t>
      </w:r>
      <w:r>
        <w:rPr>
          <w:rFonts w:ascii="Times New Roman" w:hAnsi="Times New Roman"/>
          <w:b/>
          <w:i w:val="false"/>
          <w:color w:val="000000"/>
          <w:sz w:val="22"/>
        </w:rPr>
        <w:t xml:space="preserve">(68A)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“Ballot issue”</w:t>
      </w:r>
      <w:r>
        <w:rPr>
          <w:rFonts w:ascii="Times New Roman" w:hAnsi="Times New Roman"/>
          <w:b w:val="false"/>
          <w:i w:val="false"/>
          <w:color w:val="000000"/>
          <w:sz w:val="22"/>
        </w:rPr>
        <w:t> </w:t>
      </w:r>
      <w:r>
        <w:rPr>
          <w:rFonts w:ascii="Times New Roman" w:hAnsi="Times New Roman"/>
          <w:b w:val="false"/>
          <w:i w:val="false"/>
          <w:color w:val="000000"/>
          <w:sz w:val="22"/>
        </w:rPr>
        <w:t>means a question that has been approved to be placed before the voters or is otherwise required by law to be placed before the voters. “Ballot issue” does not include the nomination or election of a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“Campaign”</w:t>
      </w:r>
      <w:r>
        <w:rPr>
          <w:rFonts w:ascii="Times New Roman" w:hAnsi="Times New Roman"/>
          <w:b w:val="false"/>
          <w:i w:val="false"/>
          <w:color w:val="000000"/>
          <w:sz w:val="22"/>
        </w:rPr>
        <w:t> </w:t>
      </w:r>
      <w:r>
        <w:rPr>
          <w:rFonts w:ascii="Times New Roman" w:hAnsi="Times New Roman"/>
          <w:b w:val="false"/>
          <w:i w:val="false"/>
          <w:color w:val="000000"/>
          <w:sz w:val="22"/>
        </w:rPr>
        <w:t>means the organized effort to expressly advocate the nomination, election, or defeat of a candidate for state or local office in Iowa. “Campaign” also means the organized effort to expressly advocate the passage or defeat of a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“Candidate”</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has taken affirmative action to seek nomination or election to a state or local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“Expressly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“express advocacy” as defined in Iowa Code section </w:t>
      </w:r>
      <w:hyperlink r:id="rId8">
        <w:r>
          <w:rPr>
            <w:rStyle w:val="Hyperlink"/>
            <w:rFonts w:ascii="Times New Roman" w:hAnsi="Times New Roman"/>
            <w:b w:val="false"/>
            <w:i w:val="false"/>
            <w:color w:val="000000"/>
            <w:sz w:val="22"/>
          </w:rPr>
          <w:t>68A.102(14)</w:t>
        </w:r>
      </w:hyperlink>
      <w:r>
        <w:rPr>
          <w:rFonts w:ascii="Times New Roman" w:hAnsi="Times New Roman"/>
          <w:b w:val="false"/>
          <w:i w:val="false"/>
          <w:color w:val="000000"/>
          <w:sz w:val="22"/>
        </w:rPr>
        <w:t>. “Express advocacy” includes a communication that uses any word, term, phrase, or symbol that exhorts an individual to vote for or against a clearly identified candidate or for the passage or defeat of a clearly identified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“Political purpose”</w:t>
      </w:r>
      <w:r>
        <w:rPr>
          <w:rFonts w:ascii="Times New Roman" w:hAnsi="Times New Roman"/>
          <w:b w:val="false"/>
          <w:i w:val="false"/>
          <w:color w:val="000000"/>
          <w:sz w:val="22"/>
        </w:rPr>
        <w:t> </w:t>
      </w:r>
      <w:r>
        <w:rPr>
          <w:rFonts w:ascii="Times New Roman" w:hAnsi="Times New Roman"/>
          <w:b w:val="false"/>
          <w:i w:val="false"/>
          <w:color w:val="000000"/>
          <w:sz w:val="22"/>
        </w:rPr>
        <w:t>means to expressly advocate the nomination, election, or defeat of a candidate or to expressly advocate the passage or defeat of a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resources”</w:t>
      </w:r>
      <w:r>
        <w:rPr>
          <w:rFonts w:ascii="Times New Roman" w:hAnsi="Times New Roman"/>
          <w:b w:val="false"/>
          <w:i w:val="false"/>
          <w:color w:val="000000"/>
          <w:sz w:val="22"/>
        </w:rPr>
        <w:t> </w:t>
      </w:r>
      <w:r>
        <w:rPr>
          <w:rFonts w:ascii="Times New Roman" w:hAnsi="Times New Roman"/>
          <w:b w:val="false"/>
          <w:i w:val="false"/>
          <w:color w:val="000000"/>
          <w:sz w:val="22"/>
        </w:rPr>
        <w:t>means the moneys, time, property, facilities, equipment, and supplies of the executive branch of state government, a county, city, public school, or other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school”</w:t>
      </w:r>
      <w:r>
        <w:rPr>
          <w:rFonts w:ascii="Times New Roman" w:hAnsi="Times New Roman"/>
          <w:b w:val="false"/>
          <w:i w:val="false"/>
          <w:color w:val="000000"/>
          <w:sz w:val="22"/>
        </w:rPr>
        <w:t> </w:t>
      </w:r>
      <w:r>
        <w:rPr>
          <w:rFonts w:ascii="Times New Roman" w:hAnsi="Times New Roman"/>
          <w:b w:val="false"/>
          <w:i w:val="false"/>
          <w:color w:val="000000"/>
          <w:sz w:val="22"/>
        </w:rPr>
        <w:t>includes a school designated as a charter school.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68A.102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351—5.4</w:t>
      </w:r>
      <w:r>
        <w:rPr>
          <w:rFonts w:ascii="Times New Roman" w:hAnsi="Times New Roman"/>
          <w:b/>
          <w:i w:val="false"/>
          <w:color w:val="000000"/>
          <w:sz w:val="22"/>
        </w:rPr>
        <w:t xml:space="preserve">(68A) </w:t>
      </w:r>
      <w:r>
        <w:rPr>
          <w:rFonts w:ascii="Times New Roman" w:hAnsi="Times New Roman"/>
          <w:b/>
          <w:i w:val="false"/>
          <w:color w:val="000000"/>
          <w:sz w:val="22"/>
        </w:rPr>
        <w:t xml:space="preserve">Use of public resources for a political purpose prohibited. </w:t>
      </w:r>
      <w:r>
        <w:rPr>
          <w:rFonts w:ascii="Times New Roman" w:hAnsi="Times New Roman"/>
          <w:b w:val="false"/>
          <w:i w:val="false"/>
          <w:color w:val="000000"/>
          <w:sz w:val="22"/>
        </w:rPr>
        <w:t>The following specific conduct or actions are deemed to be the prohibited use of public resources for a political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Using public resources to solicit or accept campaign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Using public resources to solicit votes, engage in campaign work, or poll voters on their preferences for candidates or ballot issues. The prohibition on polling voters by using public resources does not apply to authorized research at a public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Using a publicly owned motor vehicle to transport political materials, placing campaign signs on a publicly owned motor vehicle, or traveling to campaign-related events in a publicly owned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val="false"/>
          <w:color w:val="000000"/>
          <w:sz w:val="22"/>
        </w:rPr>
        <w:t>Using public resources to produce and distribute communications that expressly advocate for or against candidates or ballot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w:t>
      </w:r>
      <w:r>
        <w:rPr>
          <w:rFonts w:ascii="Times New Roman" w:hAnsi="Times New Roman"/>
          <w:b w:val="false"/>
          <w:i w:val="false"/>
          <w:color w:val="000000"/>
          <w:sz w:val="22"/>
        </w:rPr>
        <w:t> </w:t>
      </w:r>
      <w:r>
        <w:rPr>
          <w:rFonts w:ascii="Times New Roman" w:hAnsi="Times New Roman"/>
          <w:b w:val="false"/>
          <w:i w:val="false"/>
          <w:color w:val="000000"/>
          <w:sz w:val="22"/>
        </w:rPr>
        <w:t>Placing campaign materials on public property, including the placement of campaign signs in the public right-of-way.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351—5.5</w:t>
      </w:r>
      <w:r>
        <w:rPr>
          <w:rFonts w:ascii="Times New Roman" w:hAnsi="Times New Roman"/>
          <w:b/>
          <w:i w:val="false"/>
          <w:color w:val="000000"/>
          <w:sz w:val="22"/>
        </w:rPr>
        <w:t xml:space="preserve">(68A) </w:t>
      </w:r>
      <w:r>
        <w:rPr>
          <w:rFonts w:ascii="Times New Roman" w:hAnsi="Times New Roman"/>
          <w:b/>
          <w:i w:val="false"/>
          <w:color w:val="000000"/>
          <w:sz w:val="22"/>
        </w:rPr>
        <w:t xml:space="preserve">Exceptions from prohibition on use of public resources for a political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Expressing opinion at government meetings. </w:t>
      </w:r>
      <w:r>
        <w:rPr>
          <w:rFonts w:ascii="Times New Roman" w:hAnsi="Times New Roman"/>
          <w:b w:val="false"/>
          <w:i w:val="false"/>
          <w:color w:val="000000"/>
          <w:sz w:val="22"/>
        </w:rPr>
        <w:t xml:space="preserve">Iowa Code section </w:t>
      </w:r>
      <w:hyperlink r:id="rId12">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xml:space="preserve"> permits the state or a governing body of a county, city, public school, or other political subdivision to express an opinion on a ballot issue through the passage of a resolution or proclamation. It is also permissible for a member of a governing body of the state, county, city, public school, or other political subdivision to express the member’s opinion on a ballot issue at a public meeting of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Public forum. </w:t>
      </w:r>
      <w:r>
        <w:rPr>
          <w:rFonts w:ascii="Times New Roman" w:hAnsi="Times New Roman"/>
          <w:b w:val="false"/>
          <w:i w:val="false"/>
          <w:color w:val="000000"/>
          <w:sz w:val="22"/>
        </w:rPr>
        <w:t>Any public resource that is open to a member of the general public to use for other purposes may be used for political purposes, including the distribution of political materials on windshields of vehicles that are parked in public parking 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color w:val="000000"/>
          <w:sz w:val="22"/>
        </w:rPr>
        <w:t xml:space="preserve">Candidate debate. </w:t>
      </w:r>
      <w:r>
        <w:rPr>
          <w:rFonts w:ascii="Times New Roman" w:hAnsi="Times New Roman"/>
          <w:b w:val="false"/>
          <w:i w:val="false"/>
          <w:color w:val="000000"/>
          <w:sz w:val="22"/>
        </w:rPr>
        <w:t>The executive branch of state government, a county, city, public school, or other political subdivision may hold a candidate debate or forum and permit the accompanying distribution of campaign materials on governmental property so long as at least two candidates seeking the same office are invited to attend the debate or forum.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governmental body. </w:t>
      </w:r>
      <w:r>
        <w:rPr>
          <w:rFonts w:ascii="Times New Roman" w:hAnsi="Times New Roman"/>
          <w:b w:val="false"/>
          <w:i w:val="false"/>
          <w:color w:val="000000"/>
          <w:sz w:val="22"/>
        </w:rPr>
        <w:t>A person may reimburse a governmental body for the use of a public resource for a political purpose so long as it can be demonstrated to the board that the use of the resource was also for a public purpose or furthered a public interest. The reimbursement shall be for the actual costs of the public resource or be for the same amount charged to a person using the public resource for any other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Use of job title. </w:t>
      </w:r>
      <w:r>
        <w:rPr>
          <w:rFonts w:ascii="Times New Roman" w:hAnsi="Times New Roman"/>
          <w:b w:val="false"/>
          <w:i w:val="false"/>
          <w:color w:val="000000"/>
          <w:sz w:val="22"/>
        </w:rPr>
        <w:t>Official job titles, such as “representative” or “commissioner,” may be used for political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w:t>
      </w:r>
      <w:r>
        <w:rPr>
          <w:rFonts w:ascii="Times New Roman" w:hAnsi="Times New Roman"/>
          <w:b w:val="false"/>
          <w:i w:val="false"/>
          <w:color w:val="000000"/>
          <w:sz w:val="22"/>
        </w:rPr>
        <w:t> </w:t>
      </w:r>
      <w:r>
        <w:rPr>
          <w:rFonts w:ascii="Times New Roman" w:hAnsi="Times New Roman"/>
          <w:b w:val="false"/>
          <w:i/>
          <w:color w:val="000000"/>
          <w:sz w:val="22"/>
        </w:rPr>
        <w:t xml:space="preserve">Use of government-issued clothing. </w:t>
      </w:r>
      <w:r>
        <w:rPr>
          <w:rFonts w:ascii="Times New Roman" w:hAnsi="Times New Roman"/>
          <w:b w:val="false"/>
          <w:i w:val="false"/>
          <w:color w:val="000000"/>
          <w:sz w:val="22"/>
        </w:rPr>
        <w:t>Official clothing or uniforms issued by the state or other political subdivision in the regular course of employment may be worn by public officials or employees while participating in political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w:t>
      </w: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 xml:space="preserve">It is not deemed a violation of Iowa Code section </w:t>
      </w:r>
      <w:hyperlink r:id="rId13">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xml:space="preserve"> for a public official or public employee to use for political purposes the portion of public property that is designated as the personal residence of the public official or public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w:t>
      </w:r>
      <w:r>
        <w:rPr>
          <w:rFonts w:ascii="Times New Roman" w:hAnsi="Times New Roman"/>
          <w:b w:val="false"/>
          <w:i w:val="false"/>
          <w:color w:val="000000"/>
          <w:sz w:val="22"/>
        </w:rPr>
        <w:t> </w:t>
      </w:r>
      <w:r>
        <w:rPr>
          <w:rFonts w:ascii="Times New Roman" w:hAnsi="Times New Roman"/>
          <w:b w:val="false"/>
          <w:i/>
          <w:color w:val="000000"/>
          <w:sz w:val="22"/>
        </w:rPr>
        <w:t xml:space="preserve">Clothing or paraphernalia. </w:t>
      </w:r>
      <w:r>
        <w:rPr>
          <w:rFonts w:ascii="Times New Roman" w:hAnsi="Times New Roman"/>
          <w:b w:val="false"/>
          <w:i w:val="false"/>
          <w:color w:val="000000"/>
          <w:sz w:val="22"/>
        </w:rPr>
        <w:t>While performing official duties, a public official or public employee may wear clothes or wear political paraphernalia that expressly advocate for or against candidates or that expressly advocate for or against ballot issues. However, the administrative head of a state agency or of a department of a political subdivision may enact an internal policy that would prohibit the wearing of campaign materials on the public property of that agency or subdivision.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351—5.6</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advice.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Advice requested. </w:t>
      </w:r>
      <w:r>
        <w:rPr>
          <w:rFonts w:ascii="Times New Roman" w:hAnsi="Times New Roman"/>
          <w:b w:val="false"/>
          <w:i w:val="false"/>
          <w:color w:val="000000"/>
          <w:sz w:val="22"/>
        </w:rPr>
        <w:t>Public officials, public employees, or other persons interested in using public funds for a political purpose may first seek advice or guidance from the board concerning the legality of the action or conduct, including the production and distribution of a communication for a determination of whether the communication contains express advocacy.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Declaratory order. </w:t>
      </w:r>
      <w:r>
        <w:rPr>
          <w:rFonts w:ascii="Times New Roman" w:hAnsi="Times New Roman"/>
          <w:b w:val="false"/>
          <w:i w:val="false"/>
          <w:color w:val="000000"/>
          <w:sz w:val="22"/>
        </w:rPr>
        <w:t xml:space="preserve">Persons may also seek board guidance concerning the application of a statute or rule to a specific factual situation through the petition for declaratory order procedure set out in Iowa Code section </w:t>
      </w:r>
      <w:hyperlink r:id="rId15">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351—5.7</w:t>
      </w:r>
      <w:r>
        <w:rPr>
          <w:rFonts w:ascii="Times New Roman" w:hAnsi="Times New Roman"/>
          <w:b/>
          <w:i w:val="false"/>
          <w:color w:val="000000"/>
          <w:sz w:val="22"/>
        </w:rPr>
        <w:t xml:space="preserve">(68B)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Any person may file a complaint or provide information to the board alleging a violation of Iowa Code section </w:t>
      </w:r>
      <w:hyperlink r:id="rId17">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xml:space="preserve"> or the rules of this chapter by a public official or a public employee of the executive branch or a political subdivision of state government. The procedure for filing a complaint or providing information to the board is set out in Iowa Code section </w:t>
      </w:r>
      <w:hyperlink r:id="rId18">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351—Chapter 9</w:t>
        </w:r>
      </w:hyperlink>
      <w:r>
        <w:rPr>
          <w:rFonts w:ascii="Times New Roman" w:hAnsi="Times New Roman"/>
          <w:b w:val="false"/>
          <w:i w:val="false"/>
          <w:color w:val="000000"/>
          <w:sz w:val="22"/>
        </w:rPr>
        <w:t>. The board may prescribe the manner for filing formal complaints, including the use of specific forms.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351—5.8</w:t>
      </w:r>
      <w:r>
        <w:rPr>
          <w:rFonts w:ascii="Times New Roman" w:hAnsi="Times New Roman"/>
          <w:b/>
          <w:i w:val="false"/>
          <w:color w:val="000000"/>
          <w:sz w:val="22"/>
        </w:rPr>
        <w:t xml:space="preserve">(68A) </w:t>
      </w:r>
      <w:r>
        <w:rPr>
          <w:rFonts w:ascii="Times New Roman" w:hAnsi="Times New Roman"/>
          <w:b/>
          <w:i w:val="false"/>
          <w:color w:val="000000"/>
          <w:sz w:val="22"/>
        </w:rPr>
        <w:t xml:space="preserve">Holders of certain government positions prohibited from engaging in political activities. </w:t>
      </w:r>
      <w:r>
        <w:rPr>
          <w:rFonts w:ascii="Times New Roman" w:hAnsi="Times New Roman"/>
          <w:b w:val="false"/>
          <w:i w:val="false"/>
          <w:color w:val="000000"/>
          <w:sz w:val="22"/>
        </w:rPr>
        <w:t>Several statutes outside of the board’s jurisdiction prohibit the holders of certain government positions from being engaged in political activities. The board does not enforce these statutory prohibitions.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6/24/04, Notice 12/24/03—published 7/21/04, effective 8/25/04]</w:t>
      </w:r>
    </w:p>
    <w:p>
      <w:pPr>
        <w:spacing w:before="0" w:after="0"/>
        <w:ind w:left="120"/>
        <w:jc w:val="center"/>
      </w:pPr>
      <w:r>
        <w:rPr>
          <w:rFonts w:ascii="Times New Roman" w:hAnsi="Times New Roman"/>
          <w:b w:val="false"/>
          <w:i w:val="false"/>
          <w:color w:val="000000"/>
          <w:sz w:val="21"/>
        </w:rPr>
        <w:t>[Filed 9/25/06, Notice 8/2/06—published 10/25/06, effective 11/29/06]</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5525C</w:t>
      </w:r>
      <w:r>
        <w:rPr>
          <w:rFonts w:ascii="Times New Roman" w:hAnsi="Times New Roman"/>
          <w:b w:val="false"/>
          <w:i w:val="false"/>
          <w:color w:val="000000"/>
          <w:sz w:val="21"/>
        </w:rPr>
        <w:t xml:space="preserve"> (Notice ARC 5236C, IAB 10/21/20)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0236D</w:t>
      </w:r>
      <w:r>
        <w:rPr>
          <w:rFonts w:ascii="Times New Roman" w:hAnsi="Times New Roman"/>
          <w:b w:val="false"/>
          <w:i w:val="false"/>
          <w:color w:val="000000"/>
          <w:sz w:val="21"/>
        </w:rPr>
        <w:t xml:space="preserve"> (Notice ARC 0095D, IAB 3/4/26)</w:t>
      </w:r>
      <w:r>
        <w:rPr>
          <w:rFonts w:ascii="Times New Roman" w:hAnsi="Times New Roman"/>
          <w:b w:val="false"/>
          <w:i w:val="false"/>
          <w:color w:val="000000"/>
          <w:sz w:val="21"/>
        </w:rPr>
        <w:t>, IAB 4/29/26, effective 6/3/26]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A.505.pdf" Type="http://schemas.openxmlformats.org/officeDocument/2006/relationships/hyperlink" Id="rId5"/>
    <Relationship TargetMode="External" Target="https://www.legis.iowa.gov/docs/ico/chapter/68A.505.pdf" Type="http://schemas.openxmlformats.org/officeDocument/2006/relationships/hyperlink" Id="rId6"/>
    <Relationship TargetMode="External" Target="https://www.legis.iowa.gov/docs/ico/chapter/68A.505.pdf" Type="http://schemas.openxmlformats.org/officeDocument/2006/relationships/hyperlink" Id="rId7"/>
    <Relationship TargetMode="External" Target="https://www.legis.iowa.gov/docs/ico/chapter/68A.102.pdf" Type="http://schemas.openxmlformats.org/officeDocument/2006/relationships/hyperlink" Id="rId8"/>
    <Relationship TargetMode="External" Target="https://www.legis.iowa.gov/docs/ico/chapter/68A.102.pdf" Type="http://schemas.openxmlformats.org/officeDocument/2006/relationships/hyperlink" Id="rId9"/>
    <Relationship TargetMode="External" Target="https://www.legis.iowa.gov/docs/ico/chapter/68A.505.pdf" Type="http://schemas.openxmlformats.org/officeDocument/2006/relationships/hyperlink" Id="rId10"/>
    <Relationship TargetMode="External" Target="https://www.legis.iowa.gov/docs/ico/chapter/68A.505.pdf" Type="http://schemas.openxmlformats.org/officeDocument/2006/relationships/hyperlink" Id="rId11"/>
    <Relationship TargetMode="External" Target="https://www.legis.iowa.gov/docs/ico/chapter/68A.505.pdf" Type="http://schemas.openxmlformats.org/officeDocument/2006/relationships/hyperlink" Id="rId12"/>
    <Relationship TargetMode="External" Target="https://www.legis.iowa.gov/docs/ico/chapter/68A.505.pdf" Type="http://schemas.openxmlformats.org/officeDocument/2006/relationships/hyperlink" Id="rId13"/>
    <Relationship TargetMode="External" Target="https://www.legis.iowa.gov/docs/ico/chapter/68A.505.pdf" Type="http://schemas.openxmlformats.org/officeDocument/2006/relationships/hyperlink" Id="rId14"/>
    <Relationship TargetMode="External" Target="https://www.legis.iowa.gov/docs/ico/chapter/17A.9.pdf" Type="http://schemas.openxmlformats.org/officeDocument/2006/relationships/hyperlink" Id="rId15"/>
    <Relationship TargetMode="External" Target="https://www.legis.iowa.gov/docs/ico/chapter/68B.32A.pdf" Type="http://schemas.openxmlformats.org/officeDocument/2006/relationships/hyperlink" Id="rId16"/>
    <Relationship TargetMode="External" Target="https://www.legis.iowa.gov/docs/ico/chapter/68A.505.pdf" Type="http://schemas.openxmlformats.org/officeDocument/2006/relationships/hyperlink" Id="rId17"/>
    <Relationship TargetMode="External" Target="https://www.legis.iowa.gov/docs/ico/chapter/68B.32B.pdf" Type="http://schemas.openxmlformats.org/officeDocument/2006/relationships/hyperlink" Id="rId18"/>
    <Relationship TargetMode="External" Target="https://www.legis.iowa.gov/docs/iac/chapter/351.9.pdf" Type="http://schemas.openxmlformats.org/officeDocument/2006/relationships/hyperlink" Id="rId19"/>
    <Relationship TargetMode="External" Target="https://www.legis.iowa.gov/docs/ico/chapter/68B.32B.pdf" Type="http://schemas.openxmlformats.org/officeDocument/2006/relationships/hyperlink" Id="rId20"/>
    <Relationship TargetMode="External" Target="https://www.legis.iowa.gov/docs/ico/chapter/68A.505.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