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IOWA ETHICS AND CAMPAIGN DISCLOSURE BOARD</w:t>
      </w:r>
    </w:p>
    <w:p>
      <w:pPr>
        <w:spacing w:before="0" w:after="0"/>
        <w:ind w:left="120"/>
        <w:jc w:val="center"/>
      </w:pPr>
      <w:r>
        <w:rPr>
          <w:rFonts w:ascii="Times New Roman" w:hAnsi="Times New Roman"/>
          <w:b w:val="false"/>
          <w:i w:val="false"/>
          <w:color w:val="000000"/>
          <w:sz w:val="20"/>
        </w:rPr>
        <w:t>[Prior to 9/9/87, Campaign Finance Disclosure[190] Ch 5]</w:t>
      </w:r>
    </w:p>
    <w:p>
      <w:pPr>
        <w:spacing w:before="0" w:after="0"/>
        <w:ind w:left="120"/>
        <w:jc w:val="center"/>
      </w:pPr>
      <w:r>
        <w:rPr>
          <w:rFonts w:ascii="Times New Roman" w:hAnsi="Times New Roman"/>
          <w:b w:val="false"/>
          <w:i w:val="false"/>
          <w:color w:val="000000"/>
          <w:sz w:val="20"/>
        </w:rPr>
        <w:t>[Prior to 3/30/94, Campaign Finance Disclosure Commission[121] Ch 5]</w:t>
      </w:r>
    </w:p>
    <w:p>
      <w:pPr>
        <w:spacing w:before="0" w:after="0"/>
        <w:ind w:left="120"/>
        <w:jc w:val="center"/>
      </w:pPr>
      <w:r>
        <w:rPr>
          <w:rFonts w:ascii="Times New Roman" w:hAnsi="Times New Roman"/>
          <w:b w:val="false"/>
          <w:i w:val="false"/>
          <w:color w:val="000000"/>
          <w:sz w:val="20"/>
        </w:rPr>
        <w:t>[Prior to 8/21/02, see 351—Ch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6/3/31</w:t>
      </w:r>
    </w:p>
    <w:p>
      <w:pPr>
        <w:spacing w:before="0" w:after="0"/>
        <w:ind w:left="120"/>
        <w:jc w:val="both"/>
      </w:pPr>
      <w:r>
        <w:rPr>
          <w:rFonts w:ascii="Times New Roman" w:hAnsi="Times New Roman"/>
          <w:b/>
          <w:i w:val="false"/>
          <w:color w:val="000000"/>
          <w:sz w:val="22"/>
        </w:rPr>
        <w:t>351—1.1</w:t>
      </w:r>
      <w:r>
        <w:rPr>
          <w:rFonts w:ascii="Times New Roman" w:hAnsi="Times New Roman"/>
          <w:b/>
          <w:i w:val="false"/>
          <w:color w:val="000000"/>
          <w:sz w:val="22"/>
        </w:rPr>
        <w:t xml:space="preserve">(68A,68B) </w:t>
      </w:r>
      <w:r>
        <w:rPr>
          <w:rFonts w:ascii="Times New Roman" w:hAnsi="Times New Roman"/>
          <w:b/>
          <w:i w:val="false"/>
          <w:color w:val="000000"/>
          <w:sz w:val="22"/>
        </w:rPr>
        <w:t xml:space="preserve">General agency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Board established. </w:t>
      </w:r>
      <w:r>
        <w:rPr>
          <w:rFonts w:ascii="Times New Roman" w:hAnsi="Times New Roman"/>
          <w:b w:val="false"/>
          <w:i w:val="false"/>
          <w:color w:val="000000"/>
          <w:sz w:val="22"/>
        </w:rPr>
        <w:t xml:space="preserve">The Iowa ethics and campaign disclosure board is established as an independent agency of the executive branch of state government with the authority, powers, and duties set out in Iowa Code chapters </w:t>
      </w:r>
      <w:hyperlink r:id="rId5">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Election of officers. </w:t>
      </w:r>
      <w:r>
        <w:rPr>
          <w:rFonts w:ascii="Times New Roman" w:hAnsi="Times New Roman"/>
          <w:b w:val="false"/>
          <w:i w:val="false"/>
          <w:color w:val="000000"/>
          <w:sz w:val="22"/>
        </w:rPr>
        <w:t>On an annual basis at the board’s first meeting after April 30, the members shall elect a chair and vice chair, and members may be reelected or elected to a different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Board meetings. </w:t>
      </w:r>
      <w:r>
        <w:rPr>
          <w:rFonts w:ascii="Times New Roman" w:hAnsi="Times New Roman"/>
          <w:b w:val="false"/>
          <w:i w:val="false"/>
          <w:color w:val="000000"/>
          <w:sz w:val="22"/>
        </w:rPr>
        <w:t>Meetings of the board are held at the call of the chair or at the request of at least four board members. Minutes of meetings are available for viewing via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Voting and procedure. </w:t>
      </w:r>
      <w:r>
        <w:rPr>
          <w:rFonts w:ascii="Times New Roman" w:hAnsi="Times New Roman"/>
          <w:b w:val="false"/>
          <w:i w:val="false"/>
          <w:color w:val="000000"/>
          <w:sz w:val="22"/>
        </w:rPr>
        <w:t>Four board members constitute a quorum for conducting the business of the board. An affirmative vote of four board members is required for a motion to pass. The meetings shall be generally conducted according to rules of parliamentary procedure.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68B.32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0233D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351—1.2</w:t>
      </w:r>
      <w:r>
        <w:rPr>
          <w:rFonts w:ascii="Times New Roman" w:hAnsi="Times New Roman"/>
          <w:b/>
          <w:i w:val="false"/>
          <w:color w:val="000000"/>
          <w:sz w:val="22"/>
        </w:rPr>
        <w:t xml:space="preserve">(68B) </w:t>
      </w:r>
      <w:r>
        <w:rPr>
          <w:rFonts w:ascii="Times New Roman" w:hAnsi="Times New Roman"/>
          <w:b/>
          <w:i w:val="false"/>
          <w:color w:val="000000"/>
          <w:sz w:val="22"/>
        </w:rPr>
        <w:t xml:space="preserve">Requirements for requesting board advisory opinions.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Who may request opinion. </w:t>
      </w:r>
      <w:r>
        <w:rPr>
          <w:rFonts w:ascii="Times New Roman" w:hAnsi="Times New Roman"/>
          <w:b w:val="false"/>
          <w:i w:val="false"/>
          <w:color w:val="000000"/>
          <w:sz w:val="22"/>
        </w:rPr>
        <w:t xml:space="preserve">Any person subject to the board’s jurisdiction may request a board advisory opinion. A governmental entity or local government official or employee not under the board’s jurisdiction may request a board advisory opinion on an issue subject to the board’s jurisdiction. A person requesting an opinion on the application of the ethics and lobbying laws in Iowa Code chapter </w:t>
      </w:r>
      <w:hyperlink r:id="rId9">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as applied to the legislative branch of state government shall be referred to the senate and house ethics committees. The board may on its own motion issue opinions without receiving a formal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The request for an opinion shall be in writing and shall describe the specific transaction, conduct, or activity that the requesting person plans to undertake or is presently undertaking.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 xml:space="preserve">The board will issue opinions pertaining only to Iowa Code chapters </w:t>
      </w:r>
      <w:hyperlink r:id="rId10">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rules adopted thereunder.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0233D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351—1.3</w:t>
      </w:r>
      <w:r>
        <w:rPr>
          <w:rFonts w:ascii="Times New Roman" w:hAnsi="Times New Roman"/>
          <w:b/>
          <w:i w:val="false"/>
          <w:color w:val="000000"/>
          <w:sz w:val="22"/>
        </w:rPr>
        <w:t xml:space="preserve">(68B) </w:t>
      </w:r>
      <w:r>
        <w:rPr>
          <w:rFonts w:ascii="Times New Roman" w:hAnsi="Times New Roman"/>
          <w:b/>
          <w:i w:val="false"/>
          <w:color w:val="000000"/>
          <w:sz w:val="22"/>
        </w:rPr>
        <w:t xml:space="preserve">Processing of advisory opinion requests; routine administrative advice.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Requests for board advisory opinions shall be sent to the board’s legal counsel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After receiving a qualified opinion request, the board’s legal counsel shall prepare a draft opinion for board review. Upon an affirmative vote, the board will issue an advisory opinion. Advice contained in an advisory opinion, if followed, constitutes a defense to a subsequent complaint that is based on the same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A person who receives an advisory opinion may, within 30 days after the issuance of the opinion, request modification or reconsideration of the opinion. A request for modification or reconsideration shall be deemed denied unless the board acts upon the request within 60 days of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val="false"/>
          <w:color w:val="000000"/>
          <w:sz w:val="22"/>
        </w:rPr>
        <w:t>Advisory opinions are public records and shall be made available via the board’s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board staff from providing oral or written routine administrative advice when presented with oral or written inquiries from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a person who has received routine administrative advice from petitioning for a declaratory order. The board will refuse to issue a declaratory order to a person who has previously received a board opinion on the same question, unless the requester demonstrates a significant change in circumstances from those in the original opinion.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0233D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351—1.4</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member and staff code of ethics.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val="false"/>
          <w:color w:val="000000"/>
          <w:sz w:val="22"/>
        </w:rPr>
        <w:t>Making monetary and in-kind contributions to the committees of candidates for Iowa public office is prohibited. However, contributions to candidates for federal office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val="false"/>
          <w:color w:val="000000"/>
          <w:sz w:val="22"/>
        </w:rPr>
        <w:t>Serving as an officer or member of a candidate’s committee of a candidate for Iowa public office is prohibited, whether the service is volunteer or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val="false"/>
          <w:color w:val="000000"/>
          <w:sz w:val="22"/>
        </w:rPr>
        <w:t>Making monetary or in-kind contributions to a political committee (PAC) is prohibited. However, contributions to a state party or a county central committee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val="false"/>
          <w:color w:val="000000"/>
          <w:sz w:val="22"/>
        </w:rPr>
        <w:t xml:space="preserve">Running for or holding elected public office is prohibited. Running for or serving as an officer or member of any committee defined under Iowa Code chapter </w:t>
      </w:r>
      <w:hyperlink r:id="rId1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w:t>
      </w:r>
      <w:r>
        <w:rPr>
          <w:rFonts w:ascii="Times New Roman" w:hAnsi="Times New Roman"/>
          <w:b w:val="false"/>
          <w:i w:val="false"/>
          <w:color w:val="000000"/>
          <w:sz w:val="22"/>
        </w:rPr>
        <w:t> </w:t>
      </w:r>
      <w:r>
        <w:rPr>
          <w:rFonts w:ascii="Times New Roman" w:hAnsi="Times New Roman"/>
          <w:b w:val="false"/>
          <w:i w:val="false"/>
          <w:color w:val="000000"/>
          <w:sz w:val="22"/>
        </w:rPr>
        <w:t>Public personal endorsement of a candidate or publicly taking a position in support of or opposition to a ballot issue is prohibited. This rule does not prohibit a member of the board or staff from making a public personal endorsement of a federal candidate or a federal ballot issue. Members and staff of the board may attend and participate in a presidential caucus.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w:t>
      </w:r>
      <w:r>
        <w:rPr>
          <w:rFonts w:ascii="Times New Roman" w:hAnsi="Times New Roman"/>
          <w:b w:val="false"/>
          <w:i w:val="false"/>
          <w:color w:val="000000"/>
          <w:sz w:val="22"/>
        </w:rPr>
        <w:t> </w:t>
      </w:r>
      <w:r>
        <w:rPr>
          <w:rFonts w:ascii="Times New Roman" w:hAnsi="Times New Roman"/>
          <w:b w:val="false"/>
          <w:i w:val="false"/>
          <w:color w:val="000000"/>
          <w:sz w:val="22"/>
        </w:rPr>
        <w:t>Serving as a delegate to a county or state political party convention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1.4(7)</w:t>
      </w:r>
      <w:r>
        <w:rPr>
          <w:rFonts w:ascii="Times New Roman" w:hAnsi="Times New Roman"/>
          <w:b w:val="false"/>
          <w:i w:val="false"/>
          <w:color w:val="000000"/>
          <w:sz w:val="22"/>
        </w:rPr>
        <w:t> </w:t>
      </w:r>
      <w:r>
        <w:rPr>
          <w:rFonts w:ascii="Times New Roman" w:hAnsi="Times New Roman"/>
          <w:b w:val="false"/>
          <w:i w:val="false"/>
          <w:color w:val="000000"/>
          <w:sz w:val="22"/>
        </w:rPr>
        <w:t>Except due to service on the board, members of the board shall not be public officials or public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1.4(8)</w:t>
      </w:r>
      <w:r>
        <w:rPr>
          <w:rFonts w:ascii="Times New Roman" w:hAnsi="Times New Roman"/>
          <w:b w:val="false"/>
          <w:i w:val="false"/>
          <w:color w:val="000000"/>
          <w:sz w:val="22"/>
        </w:rPr>
        <w:t> </w:t>
      </w:r>
      <w:r>
        <w:rPr>
          <w:rFonts w:ascii="Times New Roman" w:hAnsi="Times New Roman"/>
          <w:b w:val="false"/>
          <w:i w:val="false"/>
          <w:color w:val="000000"/>
          <w:sz w:val="22"/>
        </w:rPr>
        <w:t>Except due to service on the board, members of the board shall not be registered lobbyists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prohibitions in this rule shall not apply to the spouse or other family members of a board member or employee of the board. However, actions by a spouse or other family member may create a potential conflict of interest on the part of the board member or employee that may necessitate recusal from a matter pursuant to Iowa Code section </w:t>
      </w:r>
      <w:hyperlink r:id="rId15">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68B.32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0233D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[Emergency filed and effective 10/28/75; Filed 10/28/75, Notice 8/25/75—published 11/17/75, effective 12/22/75]</w:t>
      </w:r>
    </w:p>
    <w:p>
      <w:pPr>
        <w:spacing w:before="0" w:after="0"/>
        <w:ind w:left="120"/>
        <w:jc w:val="center"/>
      </w:pPr>
      <w:r>
        <w:rPr>
          <w:rFonts w:ascii="Times New Roman" w:hAnsi="Times New Roman"/>
          <w:b w:val="false"/>
          <w:i w:val="false"/>
          <w:color w:val="000000"/>
          <w:sz w:val="21"/>
        </w:rPr>
        <w:t>[Filed emergency 2/11/76—published 3/8/76, effective 2/11/76]</w:t>
      </w:r>
    </w:p>
    <w:p>
      <w:pPr>
        <w:spacing w:before="0" w:after="0"/>
        <w:ind w:left="120"/>
        <w:jc w:val="center"/>
      </w:pPr>
      <w:r>
        <w:rPr>
          <w:rFonts w:ascii="Times New Roman" w:hAnsi="Times New Roman"/>
          <w:b w:val="false"/>
          <w:i w:val="false"/>
          <w:color w:val="000000"/>
          <w:sz w:val="21"/>
        </w:rPr>
        <w:t>[Filed 11/9/77, Notice 10/5/77—published 11/30/77, effective 1/4/78]</w:t>
      </w:r>
    </w:p>
    <w:p>
      <w:pPr>
        <w:spacing w:before="0" w:after="0"/>
        <w:ind w:left="120"/>
        <w:jc w:val="center"/>
      </w:pPr>
      <w:r>
        <w:rPr>
          <w:rFonts w:ascii="Times New Roman" w:hAnsi="Times New Roman"/>
          <w:b w:val="false"/>
          <w:i w:val="false"/>
          <w:color w:val="000000"/>
          <w:sz w:val="21"/>
        </w:rPr>
        <w:t>[Filed 11/6/81, Notice 9/30/81—published 11/25/81, effective 1/1/82]</w:t>
      </w:r>
    </w:p>
    <w:p>
      <w:pPr>
        <w:spacing w:before="0" w:after="0"/>
        <w:ind w:left="120"/>
        <w:jc w:val="center"/>
      </w:pPr>
      <w:r>
        <w:rPr>
          <w:rFonts w:ascii="Times New Roman" w:hAnsi="Times New Roman"/>
          <w:b w:val="false"/>
          <w:i w:val="false"/>
          <w:color w:val="000000"/>
          <w:sz w:val="21"/>
        </w:rPr>
        <w:t>[Filed 11/4/83, Notice 8/3/83—published 11/23/83, effective 1/1/84]</w:t>
      </w:r>
    </w:p>
    <w:p>
      <w:pPr>
        <w:spacing w:before="0" w:after="0"/>
        <w:ind w:left="120"/>
        <w:jc w:val="center"/>
      </w:pPr>
      <w:r>
        <w:rPr>
          <w:rFonts w:ascii="Times New Roman" w:hAnsi="Times New Roman"/>
          <w:b w:val="false"/>
          <w:i w:val="false"/>
          <w:color w:val="000000"/>
          <w:sz w:val="21"/>
        </w:rPr>
        <w:t>[Filed 5/16/86, Notice 3/12/86—published 6/4/86, effective 9/3/86]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4/23/92, Notice 2/19/92—published 5/13/92, effective 6/17/92]</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7/29/94, Notice 6/8/94—published 8/17/94, effective 9/21/94]</w:t>
      </w:r>
    </w:p>
    <w:p>
      <w:pPr>
        <w:spacing w:before="0" w:after="0"/>
        <w:ind w:left="120"/>
        <w:jc w:val="center"/>
      </w:pPr>
      <w:r>
        <w:rPr>
          <w:rFonts w:ascii="Times New Roman" w:hAnsi="Times New Roman"/>
          <w:b w:val="false"/>
          <w:i w:val="false"/>
          <w:color w:val="000000"/>
          <w:sz w:val="21"/>
        </w:rPr>
        <w:t>[Filed 5/15/98, Notice 4/8/98—published 6/3/98, effective 7/8/98]</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8/1/02, Notice 6/26/02—published 8/21/02, effective 9/25/02]</w:t>
      </w:r>
    </w:p>
    <w:p>
      <w:pPr>
        <w:spacing w:before="0" w:after="0"/>
        <w:ind w:left="120"/>
        <w:jc w:val="center"/>
      </w:pPr>
      <w:r>
        <w:rPr>
          <w:rFonts w:ascii="Times New Roman" w:hAnsi="Times New Roman"/>
          <w:b w:val="false"/>
          <w:i w:val="false"/>
          <w:color w:val="000000"/>
          <w:sz w:val="21"/>
        </w:rPr>
        <w:t>[Filed 6/19/03, Notice 5/14/03—published 7/9/03, effective 8/13/03]</w:t>
      </w:r>
    </w:p>
    <w:p>
      <w:pPr>
        <w:spacing w:before="0" w:after="0"/>
        <w:ind w:left="120"/>
        <w:jc w:val="center"/>
      </w:pPr>
      <w:r>
        <w:rPr>
          <w:rFonts w:ascii="Times New Roman" w:hAnsi="Times New Roman"/>
          <w:b w:val="false"/>
          <w:i w:val="false"/>
          <w:color w:val="000000"/>
          <w:sz w:val="21"/>
        </w:rPr>
        <w:t>[Filed 6/24/04, Notice 5/12/04—published 7/21/04, effective 8/25/04]</w:t>
      </w:r>
    </w:p>
    <w:p>
      <w:pPr>
        <w:spacing w:before="0" w:after="0"/>
        <w:ind w:left="120"/>
        <w:jc w:val="center"/>
      </w:pPr>
      <w:r>
        <w:rPr>
          <w:rFonts w:ascii="Times New Roman" w:hAnsi="Times New Roman"/>
          <w:b w:val="false"/>
          <w:i w:val="false"/>
          <w:color w:val="000000"/>
          <w:sz w:val="21"/>
        </w:rPr>
        <w:t>[Filed 8/26/04, Notice 7/21/04—published 9/15/04, effective 10/20/04]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1/28/05, Notice 12/22/04—published 2/16/05, effective 3/23/05]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5/23/05, Notice 3/16/05—published 6/22/05, effective 7/27/05]</w:t>
      </w:r>
    </w:p>
    <w:p>
      <w:pPr>
        <w:spacing w:before="0" w:after="0"/>
        <w:ind w:left="120"/>
        <w:jc w:val="center"/>
      </w:pPr>
      <w:r>
        <w:rPr>
          <w:rFonts w:ascii="Times New Roman" w:hAnsi="Times New Roman"/>
          <w:b w:val="false"/>
          <w:i w:val="false"/>
          <w:color w:val="000000"/>
          <w:sz w:val="21"/>
        </w:rPr>
        <w:t>[Filed 8/17/05, Notice 5/11/05—published 9/14/05, effective 10/19/05]</w:t>
      </w:r>
    </w:p>
    <w:p>
      <w:pPr>
        <w:spacing w:before="0" w:after="0"/>
        <w:ind w:left="120"/>
        <w:jc w:val="center"/>
      </w:pPr>
      <w:r>
        <w:rPr>
          <w:rFonts w:ascii="Times New Roman" w:hAnsi="Times New Roman"/>
          <w:b w:val="false"/>
          <w:i w:val="false"/>
          <w:color w:val="000000"/>
          <w:sz w:val="21"/>
        </w:rPr>
        <w:t>[Filed 8/17/05, Notice 6/22/05—published 9/14/05, effective 10/19/05]</w:t>
      </w:r>
    </w:p>
    <w:p>
      <w:pPr>
        <w:spacing w:before="0" w:after="0"/>
        <w:ind w:left="120"/>
        <w:jc w:val="center"/>
      </w:pPr>
      <w:r>
        <w:rPr>
          <w:rFonts w:ascii="Times New Roman" w:hAnsi="Times New Roman"/>
          <w:b w:val="false"/>
          <w:i w:val="false"/>
          <w:color w:val="000000"/>
          <w:sz w:val="21"/>
        </w:rPr>
        <w:t>[Filed 12/2/05, Notice 9/14/05—published 12/21/05, effective 1/25/06]</w:t>
      </w:r>
    </w:p>
    <w:p>
      <w:pPr>
        <w:spacing w:before="0" w:after="0"/>
        <w:ind w:left="120"/>
        <w:jc w:val="center"/>
      </w:pPr>
      <w:r>
        <w:rPr>
          <w:rFonts w:ascii="Times New Roman" w:hAnsi="Times New Roman"/>
          <w:b w:val="false"/>
          <w:i w:val="false"/>
          <w:color w:val="000000"/>
          <w:sz w:val="21"/>
        </w:rPr>
        <w:t>[Filed 9/25/06, Notice 8/2/06—published 10/25/06, effective 11/29/06]</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8287B</w:t>
      </w:r>
      <w:r>
        <w:rPr>
          <w:rFonts w:ascii="Times New Roman" w:hAnsi="Times New Roman"/>
          <w:b w:val="false"/>
          <w:i w:val="false"/>
          <w:color w:val="000000"/>
          <w:sz w:val="21"/>
        </w:rPr>
        <w:t xml:space="preserve"> (Notice ARC 8000B, IAB 7/29/09)</w:t>
      </w:r>
      <w:r>
        <w:rPr>
          <w:rFonts w:ascii="Times New Roman" w:hAnsi="Times New Roman"/>
          <w:b w:val="false"/>
          <w:i w:val="false"/>
          <w:color w:val="000000"/>
          <w:sz w:val="21"/>
        </w:rPr>
        <w:t>, IAB 11/18/09, effective 12/23/09]</w:t>
      </w:r>
    </w:p>
    <w:p>
      <w:pPr>
        <w:spacing w:before="0" w:after="0"/>
        <w:ind w:left="120"/>
        <w:jc w:val="center"/>
      </w:pPr>
      <w:r>
        <w:rPr>
          <w:rFonts w:ascii="Times New Roman" w:hAnsi="Times New Roman"/>
          <w:b w:val="false"/>
          <w:i w:val="false"/>
          <w:color w:val="000000"/>
          <w:sz w:val="21"/>
        </w:rPr>
        <w:t>[Filed ARC 6084C</w:t>
      </w:r>
      <w:r>
        <w:rPr>
          <w:rFonts w:ascii="Times New Roman" w:hAnsi="Times New Roman"/>
          <w:b w:val="false"/>
          <w:i w:val="false"/>
          <w:color w:val="000000"/>
          <w:sz w:val="21"/>
        </w:rPr>
        <w:t xml:space="preserve"> (Notice ARC 5888C, IAB 9/8/21)</w:t>
      </w:r>
      <w:r>
        <w:rPr>
          <w:rFonts w:ascii="Times New Roman" w:hAnsi="Times New Roman"/>
          <w:b w:val="false"/>
          <w:i w:val="false"/>
          <w:color w:val="000000"/>
          <w:sz w:val="21"/>
        </w:rPr>
        <w:t>, IAB 12/15/21, effective 2/1/22]</w:t>
      </w:r>
    </w:p>
    <w:p>
      <w:pPr>
        <w:spacing w:before="0" w:after="0"/>
        <w:ind w:left="120"/>
        <w:jc w:val="center"/>
      </w:pPr>
      <w:r>
        <w:rPr>
          <w:rFonts w:ascii="Times New Roman" w:hAnsi="Times New Roman"/>
          <w:b w:val="false"/>
          <w:i w:val="false"/>
          <w:color w:val="000000"/>
          <w:sz w:val="21"/>
        </w:rPr>
        <w:t>[Filed ARC 0233D</w:t>
      </w:r>
      <w:r>
        <w:rPr>
          <w:rFonts w:ascii="Times New Roman" w:hAnsi="Times New Roman"/>
          <w:b w:val="false"/>
          <w:i w:val="false"/>
          <w:color w:val="000000"/>
          <w:sz w:val="21"/>
        </w:rPr>
        <w:t xml:space="preserve"> (Notice ARC 0084D, IAB 3/4/26)</w:t>
      </w:r>
      <w:r>
        <w:rPr>
          <w:rFonts w:ascii="Times New Roman" w:hAnsi="Times New Roman"/>
          <w:b w:val="false"/>
          <w:i w:val="false"/>
          <w:color w:val="000000"/>
          <w:sz w:val="21"/>
        </w:rPr>
        <w:t>, IAB 4/29/26, effective 6/3/26]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A.pdf" Type="http://schemas.openxmlformats.org/officeDocument/2006/relationships/hyperlink" Id="rId5"/>
    <Relationship TargetMode="External" Target="https://www.legis.iowa.gov/docs/ico/chapter/68B.pdf" Type="http://schemas.openxmlformats.org/officeDocument/2006/relationships/hyperlink" Id="rId6"/>
    <Relationship TargetMode="External" Target="https://www.legis.iowa.gov/docs/ico/chapter/68B.32.pdf" Type="http://schemas.openxmlformats.org/officeDocument/2006/relationships/hyperlink" Id="rId7"/>
    <Relationship TargetMode="External" Target="https://www.legis.iowa.gov/docs/ico/chapter/68B.32A.pdf" Type="http://schemas.openxmlformats.org/officeDocument/2006/relationships/hyperlink" Id="rId8"/>
    <Relationship TargetMode="External" Target="https://www.legis.iowa.gov/docs/ico/chapter/68B.pdf" Type="http://schemas.openxmlformats.org/officeDocument/2006/relationships/hyperlink" Id="rId9"/>
    <Relationship TargetMode="External" Target="https://www.legis.iowa.gov/docs/ico/chapter/68A.pdf" Type="http://schemas.openxmlformats.org/officeDocument/2006/relationships/hyperlink" Id="rId10"/>
    <Relationship TargetMode="External" Target="https://www.legis.iowa.gov/docs/ico/chapter/68B.pdf" Type="http://schemas.openxmlformats.org/officeDocument/2006/relationships/hyperlink" Id="rId11"/>
    <Relationship TargetMode="External" Target="https://www.legis.iowa.gov/docs/ico/chapter/68B.32A.pdf" Type="http://schemas.openxmlformats.org/officeDocument/2006/relationships/hyperlink" Id="rId12"/>
    <Relationship TargetMode="External" Target="https://www.legis.iowa.gov/docs/ico/chapter/68B.32A.pdf" Type="http://schemas.openxmlformats.org/officeDocument/2006/relationships/hyperlink" Id="rId13"/>
    <Relationship TargetMode="External" Target="https://www.legis.iowa.gov/docs/ico/chapter/68A.pdf" Type="http://schemas.openxmlformats.org/officeDocument/2006/relationships/hyperlink" Id="rId14"/>
    <Relationship TargetMode="External" Target="https://www.legis.iowa.gov/docs/ico/chapter/68B.2A.pdf" Type="http://schemas.openxmlformats.org/officeDocument/2006/relationships/hyperlink" Id="rId15"/>
    <Relationship TargetMode="External" Target="https://www.legis.iowa.gov/docs/ico/chapter/68B.2A.pdf" Type="http://schemas.openxmlformats.org/officeDocument/2006/relationships/hyperlink" Id="rId16"/>
    <Relationship TargetMode="External" Target="https://www.legis.iowa.gov/docs/ico/chapter/68B.3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