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301—5.1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these rules means the Iowa egg council.</w:t>
      </w:r>
    </w:p>
    <w:p>
      <w:pPr>
        <w:spacing w:before="210" w:after="0"/>
        <w:ind w:left="120"/>
        <w:jc w:val="both"/>
      </w:pPr>
      <w:r>
        <w:rPr>
          <w:rFonts w:ascii="Times New Roman" w:hAnsi="Times New Roman"/>
          <w:b/>
          <w:i w:val="false"/>
          <w:color w:val="000000"/>
          <w:sz w:val="22"/>
        </w:rPr>
        <w:t>301—5.3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301—5.6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301—5.9</w:t>
      </w:r>
      <w:r>
        <w:rPr>
          <w:rFonts w:ascii="Times New Roman" w:hAnsi="Times New Roman"/>
          <w:b/>
          <w:i w:val="false"/>
          <w:color w:val="000000"/>
          <w:sz w:val="22"/>
        </w:rPr>
        <w:t xml:space="preserve">(17A,22) </w:t>
      </w:r>
      <w:r>
        <w:rPr>
          <w:rFonts w:ascii="Times New Roman" w:hAnsi="Times New Roman"/>
          <w:b/>
          <w:i w:val="false"/>
          <w:color w:val="000000"/>
          <w:sz w:val="22"/>
        </w:rPr>
        <w:t xml:space="preserve">Public records; confidential records.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i w:val="false"/>
          <w:color w:val="000000"/>
          <w:sz w:val="22"/>
        </w:rPr>
        <w:t>301—5.10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Agency records include the following personally identifiable information: excise tax remittance in identifying individual producers and the amounts remitted, refund requests from producers, and personal information in confidential personnel records. This information is collected pursuant to the authority of Iowa Code chapter </w:t>
      </w:r>
      <w:hyperlink r:id="rId5">
        <w:r>
          <w:rPr>
            <w:rStyle w:val="Hyperlink"/>
            <w:rFonts w:ascii="Times New Roman" w:hAnsi="Times New Roman"/>
            <w:b w:val="false"/>
            <w:i w:val="false"/>
            <w:color w:val="000000"/>
            <w:sz w:val="22"/>
          </w:rPr>
          <w:t>184</w:t>
        </w:r>
      </w:hyperlink>
      <w:r>
        <w:rPr>
          <w:rFonts w:ascii="Times New Roman" w:hAnsi="Times New Roman"/>
          <w:b w:val="false"/>
          <w:i w:val="false"/>
          <w:color w:val="000000"/>
          <w:sz w:val="22"/>
        </w:rPr>
        <w:t xml:space="preserve"> and is stored in the office files of the council office. Personally identifiable information contained in these records shall be confidential.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301—5.11</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w:t>
      </w:r>
      <w:r>
        <w:rPr>
          <w:rFonts w:ascii="Times New Roman" w:hAnsi="Times New Roman"/>
          <w:b w:val="false"/>
          <w:i w:val="false"/>
          <w:color w:val="000000"/>
          <w:sz w:val="22"/>
        </w:rPr>
        <w:t>No data processing system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9/16/88—published 10/5/88, effective 9/16/88]</w:t>
      </w:r>
    </w:p>
    <w:p>
      <w:pPr>
        <w:spacing w:before="0" w:after="0"/>
        <w:ind w:left="120"/>
        <w:jc w:val="center"/>
      </w:pPr>
      <w:r>
        <w:rPr>
          <w:rFonts w:ascii="Times New Roman" w:hAnsi="Times New Roman"/>
          <w:b w:val="false"/>
          <w:i w:val="false"/>
          <w:color w:val="000000"/>
          <w:sz w:val="21"/>
        </w:rPr>
        <w:t>[Filed 4/14/89, Notice 10/5/88—published 5/3/89, effective 6/7/89]</w:t>
      </w:r>
    </w:p>
    <w:p>
      <w:pPr>
        <w:spacing w:before="0" w:after="0"/>
        <w:ind w:left="120"/>
        <w:jc w:val="center"/>
      </w:pPr>
      <w:r>
        <w:rPr>
          <w:rFonts w:ascii="Times New Roman" w:hAnsi="Times New Roman"/>
          <w:b w:val="false"/>
          <w:i w:val="false"/>
          <w:color w:val="000000"/>
          <w:sz w:val="21"/>
        </w:rPr>
        <w:t>[Filed ARC 4886C</w:t>
      </w:r>
      <w:r>
        <w:rPr>
          <w:rFonts w:ascii="Times New Roman" w:hAnsi="Times New Roman"/>
          <w:b w:val="false"/>
          <w:i w:val="false"/>
          <w:color w:val="000000"/>
          <w:sz w:val="21"/>
        </w:rPr>
        <w:t xml:space="preserve"> (Notice ARC 4783C, IAB 12/4/19)</w:t>
      </w:r>
      <w:r>
        <w:rPr>
          <w:rFonts w:ascii="Times New Roman" w:hAnsi="Times New Roman"/>
          <w:b w:val="false"/>
          <w:i w:val="false"/>
          <w:color w:val="000000"/>
          <w:sz w:val="21"/>
        </w:rPr>
        <w:t>, IAB 1/29/20, effective 3/4/20]</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4.pdf" Type="http://schemas.openxmlformats.org/officeDocument/2006/relationships/hyperlink" Id="rId5"/>
    <Relationship TargetMode="External" Target="https://www.legis.iowa.gov/docs/ico/chapter/22.1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