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[Prior to 10/17/90, see School Budget Review, 289—1.7(442, 22)]</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289—5.1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“school budget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289—5.3</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289—5.6</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289—5.9</w:t>
      </w:r>
      <w:r>
        <w:rPr>
          <w:rFonts w:ascii="Times New Roman" w:hAnsi="Times New Roman"/>
          <w:b/>
          <w:i w:val="false"/>
          <w:color w:val="000000"/>
          <w:sz w:val="22"/>
        </w:rPr>
        <w:t xml:space="preserve">(17A)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289—5.10</w:t>
      </w:r>
      <w:r>
        <w:rPr>
          <w:rFonts w:ascii="Times New Roman" w:hAnsi="Times New Roman"/>
          <w:b/>
          <w:i w:val="false"/>
          <w:color w:val="000000"/>
          <w:sz w:val="22"/>
        </w:rPr>
        <w:t xml:space="preserve">(17A)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289—5.11</w:t>
      </w:r>
      <w:r>
        <w:rPr>
          <w:rFonts w:ascii="Times New Roman" w:hAnsi="Times New Roman"/>
          <w:b/>
          <w:i w:val="false"/>
          <w:color w:val="000000"/>
          <w:sz w:val="22"/>
        </w:rPr>
        <w:t xml:space="preserve">(17A)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289—5.12</w:t>
      </w:r>
      <w:r>
        <w:rPr>
          <w:rFonts w:ascii="Times New Roman" w:hAnsi="Times New Roman"/>
          <w:b/>
          <w:i w:val="false"/>
          <w:color w:val="000000"/>
          <w:sz w:val="22"/>
        </w:rPr>
        <w:t xml:space="preserve">(17A) </w:t>
      </w:r>
      <w:r>
        <w:rPr>
          <w:rFonts w:ascii="Times New Roman" w:hAnsi="Times New Roman"/>
          <w:b/>
          <w:i w:val="false"/>
          <w:color w:val="000000"/>
          <w:sz w:val="22"/>
        </w:rPr>
        <w:t xml:space="preserve">Rulemaking records. </w:t>
      </w:r>
      <w:r>
        <w:rPr>
          <w:rFonts w:ascii="Times New Roman" w:hAnsi="Times New Roman"/>
          <w:b w:val="false"/>
          <w:i w:val="false"/>
          <w:color w:val="000000"/>
          <w:sz w:val="22"/>
        </w:rPr>
        <w:t xml:space="preserve">These records are routinely available to the public and may contain information about individuals making written or oral comments on proposed rules or proposing rules or rule amendments. This information is collected pursuant to Iowa Code sections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on paper and not in an automated data processing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289—5.13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12/9/88, Notice 10/5/88—published 12/28/88, effective 2/1/89]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[Editorial change: IAC Supplement 10/6/10]</w:t>
      </w:r>
    </w:p>
    <w:p>
      <w:pPr>
        <w:spacing w:before="0" w:after="0"/>
        <w:ind w:left="120"/>
        <w:jc w:val="center"/>
      </w:pPr>
      <w:r>
        <w:rPr>
          <w:rFonts w:ascii="Times New Roman" w:hAnsi="Times New Roman"/>
          <w:b w:val="false"/>
          <w:i w:val="false"/>
          <w:color w:val="000000"/>
          <w:sz w:val="21"/>
        </w:rPr>
        <w:t>[Filed ARC 9331C</w:t>
      </w:r>
      <w:r>
        <w:rPr>
          <w:rFonts w:ascii="Times New Roman" w:hAnsi="Times New Roman"/>
          <w:b w:val="false"/>
          <w:i w:val="false"/>
          <w:color w:val="000000"/>
          <w:sz w:val="21"/>
        </w:rPr>
        <w:t xml:space="preserve"> (Notice ARC 9056C, IAB 4/2/25)</w:t>
      </w:r>
      <w:r>
        <w:rPr>
          <w:rFonts w:ascii="Times New Roman" w:hAnsi="Times New Roman"/>
          <w:b w:val="false"/>
          <w:i w:val="false"/>
          <w:color w:val="000000"/>
          <w:sz w:val="21"/>
        </w:rPr>
        <w:t>, IAB 5/28/25, effective 7/2/25]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co/chapter/17A.2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