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CRITERIA FOR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288—14.1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The division provides grant funding and contracts to a variety of entities throughout the state for support of educational telecommunications programs. To ensure objective evaluation of applicants for these funds, grant and contract application materials shall contain, at minimum, specific content. Program grant and contract application packets shall be developed by the division in accordance with these rules unless prohibited by or in conflict with appropriation language, the Iowa Code, the Iowa Administrative Code, federal regulations, or interagency agreements between the division and other state agencies.</w:t>
      </w:r>
    </w:p>
    <w:p>
      <w:pPr>
        <w:spacing w:before="0" w:after="0"/>
        <w:ind w:left="120"/>
        <w:jc w:val="both"/>
      </w:pPr>
      <w:r>
        <w:rPr>
          <w:rFonts w:ascii="Times New Roman" w:hAnsi="Times New Roman"/>
          <w:b/>
          <w:i w:val="false"/>
          <w:color w:val="000000"/>
          <w:sz w:val="22"/>
        </w:rPr>
        <w:t>288—14.2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Iowa Public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grant or contract” </w:t>
      </w:r>
      <w:r>
        <w:rPr>
          <w:rFonts w:ascii="Times New Roman" w:hAnsi="Times New Roman"/>
          <w:b w:val="false"/>
          <w:i w:val="false"/>
          <w:color w:val="000000"/>
          <w:sz w:val="22"/>
        </w:rPr>
        <w:t>means the collective activities of a grant or contract funded through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period” </w:t>
      </w:r>
      <w:r>
        <w:rPr>
          <w:rFonts w:ascii="Times New Roman" w:hAnsi="Times New Roman"/>
          <w:b w:val="false"/>
          <w:i w:val="false"/>
          <w:color w:val="000000"/>
          <w:sz w:val="22"/>
        </w:rPr>
        <w:t>means the period of time during which the division intends to support the program without requiring recompetition for funds. The program period is specified within the grant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the defined geographic area for delivery of program services.</w:t>
      </w:r>
    </w:p>
    <w:p>
      <w:pPr>
        <w:spacing w:before="0" w:after="0"/>
        <w:ind w:left="120"/>
        <w:jc w:val="both"/>
      </w:pPr>
      <w:r>
        <w:rPr>
          <w:rFonts w:ascii="Times New Roman" w:hAnsi="Times New Roman"/>
          <w:b/>
          <w:i w:val="false"/>
          <w:color w:val="000000"/>
          <w:sz w:val="22"/>
        </w:rPr>
        <w:t>288—14.3</w:t>
      </w:r>
      <w:r>
        <w:rPr>
          <w:rFonts w:ascii="Times New Roman" w:hAnsi="Times New Roman"/>
          <w:b/>
          <w:i w:val="false"/>
          <w:color w:val="000000"/>
          <w:sz w:val="22"/>
        </w:rPr>
        <w:t xml:space="preserve">(256) </w:t>
      </w:r>
      <w:r>
        <w:rPr>
          <w:rFonts w:ascii="Times New Roman" w:hAnsi="Times New Roman"/>
          <w:b/>
          <w:i w:val="false"/>
          <w:color w:val="000000"/>
          <w:sz w:val="22"/>
        </w:rPr>
        <w:t xml:space="preserve">Requirements. </w:t>
      </w:r>
      <w:r>
        <w:rPr>
          <w:rFonts w:ascii="Times New Roman" w:hAnsi="Times New Roman"/>
          <w:b w:val="false"/>
          <w:i w:val="false"/>
          <w:color w:val="000000"/>
          <w:sz w:val="22"/>
        </w:rPr>
        <w:t>The following shall be included in all program grant and contract application materials made available by the division: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Funding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Description of eligible applicants.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Services to be delivered.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Service delivery area.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Target population to be served (if applicable).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Funding purpose.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Funding restrictions.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Funding formula (if any).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Matching requirement (if any).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Performance criteria (if any).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Need for letters of support or other materials (if applicable).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Application due date.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Anticipated date of awarding grant/contract.</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Required components of submitted grant applications.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An explanation of the review process and the review criteria to be used by application evaluators, including, if applicable, the number of points allocated per required component.</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Appeal process in the event an application is denied (only with competitive grant/contract process).</w:t>
      </w:r>
    </w:p>
    <w:p>
      <w:pPr>
        <w:spacing w:before="210" w:after="0"/>
        <w:ind w:left="120"/>
        <w:jc w:val="both"/>
      </w:pPr>
      <w:r>
        <w:rPr>
          <w:rFonts w:ascii="Times New Roman" w:hAnsi="Times New Roman"/>
          <w:b/>
          <w:i w:val="false"/>
          <w:color w:val="000000"/>
          <w:sz w:val="22"/>
        </w:rPr>
        <w:t>288—14.4</w:t>
      </w:r>
      <w:r>
        <w:rPr>
          <w:rFonts w:ascii="Times New Roman" w:hAnsi="Times New Roman"/>
          <w:b/>
          <w:i w:val="false"/>
          <w:color w:val="000000"/>
          <w:sz w:val="22"/>
        </w:rPr>
        <w:t xml:space="preserve">(256) </w:t>
      </w:r>
      <w:r>
        <w:rPr>
          <w:rFonts w:ascii="Times New Roman" w:hAnsi="Times New Roman"/>
          <w:b/>
          <w:i w:val="false"/>
          <w:color w:val="000000"/>
          <w:sz w:val="22"/>
        </w:rPr>
        <w:t xml:space="preserve">Review process (for competitive grants and contracts). </w:t>
      </w:r>
      <w:r>
        <w:rPr>
          <w:rFonts w:ascii="Times New Roman" w:hAnsi="Times New Roman"/>
          <w:b w:val="false"/>
          <w:i w:val="false"/>
          <w:color w:val="000000"/>
          <w:sz w:val="22"/>
        </w:rPr>
        <w:t>The review process to be followed in determining the amount of funds to be approved for any competitive program grant or contract shall be described in the application. The review criteria and point allocation for each criterion shall also be described in the grant application material.</w:t>
      </w:r>
    </w:p>
    <w:p>
      <w:pPr>
        <w:spacing w:before="0" w:after="0"/>
        <w:ind w:left="120"/>
        <w:jc w:val="both"/>
      </w:pPr>
      <w:r>
        <w:rPr>
          <w:rFonts w:ascii="Times New Roman" w:hAnsi="Times New Roman"/>
          <w:b/>
          <w:i w:val="false"/>
          <w:color w:val="000000"/>
          <w:sz w:val="22"/>
        </w:rPr>
        <w:t>288—14.5</w:t>
      </w:r>
      <w:r>
        <w:rPr>
          <w:rFonts w:ascii="Times New Roman" w:hAnsi="Times New Roman"/>
          <w:b/>
          <w:i w:val="false"/>
          <w:color w:val="000000"/>
          <w:sz w:val="22"/>
        </w:rPr>
        <w:t xml:space="preserve">(256) </w:t>
      </w:r>
      <w:r>
        <w:rPr>
          <w:rFonts w:ascii="Times New Roman" w:hAnsi="Times New Roman"/>
          <w:b/>
          <w:i w:val="false"/>
          <w:color w:val="000000"/>
          <w:sz w:val="22"/>
        </w:rPr>
        <w:t xml:space="preserve">Appeal of grant or contract denial or termination. </w:t>
      </w:r>
      <w:r>
        <w:rPr>
          <w:rFonts w:ascii="Times New Roman" w:hAnsi="Times New Roman"/>
          <w:b w:val="false"/>
          <w:i w:val="false"/>
          <w:color w:val="000000"/>
          <w:sz w:val="22"/>
        </w:rPr>
        <w:t xml:space="preserve">Any applicant may appeal to the administrator the denial of a properly submitted competitive program grant or contract application or the unilateral termination of a competitive program grant or contract. Appeals must be in writing and received within ten working days of the date of the notice of decision and must be based on a contention that the process was conducted outside of statutory authority; violated state or federal law, policy, or rule; did not provide adequate public notice; was altered without adequate public notice; or involved conflict of interest by staff or committee members. The contested case procedures found in </w:t>
      </w:r>
      <w:hyperlink r:id="rId5">
        <w:r>
          <w:rPr>
            <w:rStyle w:val="Hyperlink"/>
            <w:rFonts w:ascii="Times New Roman" w:hAnsi="Times New Roman"/>
            <w:b w:val="false"/>
            <w:i w:val="false"/>
            <w:color w:val="000000"/>
            <w:sz w:val="22"/>
          </w:rPr>
          <w:t>288—Chapter 13</w:t>
        </w:r>
      </w:hyperlink>
      <w:r>
        <w:rPr>
          <w:rFonts w:ascii="Times New Roman" w:hAnsi="Times New Roman"/>
          <w:b w:val="false"/>
          <w:i w:val="false"/>
          <w:color w:val="000000"/>
          <w:sz w:val="22"/>
        </w:rPr>
        <w:t xml:space="preserve"> that govern the administrator’s decision shall be applicable to any appeal of denial or termination.</w:t>
      </w:r>
    </w:p>
    <w:p>
      <w:pPr>
        <w:spacing w:before="0" w:after="0"/>
        <w:ind w:left="120"/>
        <w:jc w:val="both"/>
      </w:pPr>
      <w:r>
        <w:rPr>
          <w:rFonts w:ascii="Times New Roman" w:hAnsi="Times New Roman"/>
          <w:b w:val="false"/>
          <w:i w:val="false"/>
          <w:color w:val="000000"/>
          <w:sz w:val="22"/>
        </w:rPr>
        <w:t>In the notice of appeal, the applicant shall give a short and plain statement of the reasons for the appeal.</w:t>
      </w:r>
    </w:p>
    <w:p>
      <w:pPr>
        <w:spacing w:before="0" w:after="0"/>
        <w:ind w:left="120"/>
        <w:jc w:val="both"/>
      </w:pPr>
      <w:r>
        <w:rPr>
          <w:rFonts w:ascii="Times New Roman" w:hAnsi="Times New Roman"/>
          <w:b w:val="false"/>
          <w:i w:val="false"/>
          <w:color w:val="000000"/>
          <w:sz w:val="22"/>
        </w:rPr>
        <w:t>The administrator shall issue a decision within a reasonable time, not to exceed 60 days from the date of the appeal.</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256.80 to 256.90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8/28/00, Notice 7/26/00—published 9/20/00, effective 10/25/00]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8.13.pdf" Type="http://schemas.openxmlformats.org/officeDocument/2006/relationships/hyperlink" Id="rId5"/>
    <Relationship TargetMode="External" Target="https://www.legis.iowa.gov/docs/ico/chapter/256.80-9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