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COMMUNICATIONS NETWORK</w:t>
      </w:r>
      <w:r>
        <w:br/>
      </w:r>
      <w:r>
        <w:rPr>
          <w:rFonts w:ascii="Times New Roman" w:hAnsi="Times New Roman"/>
          <w:b w:val="false"/>
          <w:i w:val="false"/>
          <w:color w:val="000000"/>
          <w:sz w:val="21"/>
        </w:rPr>
        <w:t>EDUCATIONAL SITE SELECTION</w:t>
      </w:r>
    </w:p>
    <w:p>
      <w:pPr>
        <w:spacing w:before="0" w:after="0"/>
        <w:ind w:left="120"/>
        <w:jc w:val="center"/>
      </w:pPr>
      <w:r>
        <w:rPr>
          <w:rFonts w:ascii="Times New Roman" w:hAnsi="Times New Roman"/>
          <w:b w:val="false"/>
          <w:i w:val="false"/>
          <w:color w:val="000000"/>
          <w:sz w:val="14"/>
        </w:rPr>
        <w:t>[Prior to 9/14/94, see Public Broadcasting Division[225]]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288—10.1</w:t>
      </w:r>
      <w:r>
        <w:rPr>
          <w:rFonts w:ascii="Times New Roman" w:hAnsi="Times New Roman"/>
          <w:b/>
          <w:i w:val="false"/>
          <w:color w:val="000000"/>
          <w:sz w:val="22"/>
        </w:rPr>
        <w:t xml:space="preserve">(18) </w:t>
      </w:r>
      <w:r>
        <w:rPr>
          <w:rFonts w:ascii="Times New Roman" w:hAnsi="Times New Roman"/>
          <w:b/>
          <w:i w:val="false"/>
          <w:color w:val="000000"/>
          <w:sz w:val="22"/>
        </w:rPr>
        <w:t xml:space="preserve">Site selection criteria. </w:t>
      </w:r>
      <w:r>
        <w:rPr>
          <w:rFonts w:ascii="Times New Roman" w:hAnsi="Times New Roman"/>
          <w:b w:val="false"/>
          <w:i w:val="false"/>
          <w:color w:val="000000"/>
          <w:sz w:val="22"/>
        </w:rPr>
        <w:t>Site selection shall be made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Equipment facilities requirements. </w:t>
      </w:r>
      <w:r>
        <w:rPr>
          <w:rFonts w:ascii="Times New Roman" w:hAnsi="Times New Roman"/>
          <w:b w:val="false"/>
          <w:i w:val="false"/>
          <w:color w:val="000000"/>
          <w:sz w:val="22"/>
        </w:rPr>
        <w:t>The requirements for equipment facilities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200 square feet is required for equipment facilities. A minimum clearance of three feet on the front and back of relay equipment and the front of wall-mounted equipment at the site shall be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wall shall be strong enough to support a horizontally mounted 8 feet by 4 feet by ¾-inch plywood board and 50 pounds of equipment mounted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120/240-volt noninterruptible electrical service shall be provided from dedicated circuits with isolated grounding. At a minimum, there shall be a one-circuit fourplex for the wall-mounted equipment and a second one-circuit fourplex for general electrical needs of the site. The service shall be installed in compliance with the currently adopted edition of the National Electrical Code. Additional requirements may be necessary to handle site-specific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minimum of 75 foot-candle average illumination is required at the floor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heating and air conditioning shall be provided to maintain ambient temperature between 50 and 80 degrees Fahrenheit, between 30 and 50 percent humidity, and have sufficient ventilation to maintain a clean environment for the electronic equipment. Additional requirements may be necessary to handle site-specific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Protection is required for the equipment to prevent accidental damage and damage from vandalism.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outdoor area is required for a standby generator and an associated propane tank conveniently located to provide emergency power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Convenient access to the site is required for equipment installation, testing, maintenance, and repair. The area shall be secured from access by unauthorized individuals and 24-hour access guaranteed for authorized personnel. A key to the building and room, if necessary,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items in this subrule shall be provided at no expense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Facility access requirements. </w:t>
      </w:r>
      <w:r>
        <w:rPr>
          <w:rFonts w:ascii="Times New Roman" w:hAnsi="Times New Roman"/>
          <w:b w:val="false"/>
          <w:i w:val="false"/>
          <w:color w:val="000000"/>
          <w:sz w:val="22"/>
        </w:rPr>
        <w:t>The requirements for facility access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classroom(s) and the area in which the classroom(s) is located shall, at a minimum, meet the Iowa state building code requirements in effect at the time of the site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classroom(s) and the area in which the classroom(s) is located shall require the facility to meet all the conditions of the “Uniform Federal Accessibility Standards” in effect at the time of the site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Parking facilities shall be of adequate size to accommodate classes and have adequate lighting for safe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Normal custodial maintenance including snow removal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Classroom facilities requirements. </w:t>
      </w:r>
      <w:r>
        <w:rPr>
          <w:rFonts w:ascii="Times New Roman" w:hAnsi="Times New Roman"/>
          <w:b w:val="false"/>
          <w:i w:val="false"/>
          <w:color w:val="000000"/>
          <w:sz w:val="22"/>
        </w:rPr>
        <w:t>The requirements for classroom facilities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initialization, each site shall have a minimum of one teaching classroom dedicated for educational telecommunications origination or reception. This classroom shall be of sufficient size to comfortably seat a minimum of 20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that a second channel is activated, a second teaching classroom shall be dedicated for educational telecommunications origination or reception. This classroom shall be of sufficient size to comfortably seat a minimum of 20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Future classroom expansion should be considered in selecting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Classroom(s) shall be available for use the entire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Sites shall, at a minimum, support access and facilities use Monday through Friday, 7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 and Saturday,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Classroom(s) shall be located as close as possible to the equipment facilities identified in subrule </w:t>
      </w:r>
      <w:hyperlink r:id="rId5">
        <w:r>
          <w:rPr>
            <w:rStyle w:val="Hyperlink"/>
            <w:rFonts w:ascii="Times New Roman" w:hAnsi="Times New Roman"/>
            <w:b w:val="false"/>
            <w:i w:val="false"/>
            <w:color w:val="000000"/>
            <w:sz w:val="22"/>
          </w:rPr>
          <w:t>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18.136(8)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2/26/91—published 3/20/91, effective 2/26/91]</w:t>
      </w:r>
    </w:p>
    <w:p>
      <w:pPr>
        <w:spacing w:before="0" w:after="0"/>
        <w:ind w:left="120"/>
        <w:jc w:val="center"/>
      </w:pPr>
      <w:r>
        <w:rPr>
          <w:rFonts w:ascii="Times New Roman" w:hAnsi="Times New Roman"/>
          <w:b w:val="false"/>
          <w:i w:val="false"/>
          <w:color w:val="000000"/>
          <w:sz w:val="21"/>
        </w:rPr>
        <w:t>[Filed emergency 4/16/91—published 5/15/91, effective 4/16/91]</w:t>
      </w:r>
    </w:p>
    <w:p>
      <w:pPr>
        <w:spacing w:before="0" w:after="0"/>
        <w:ind w:left="120"/>
        <w:jc w:val="center"/>
      </w:pPr>
      <w:r>
        <w:rPr>
          <w:rFonts w:ascii="Times New Roman" w:hAnsi="Times New Roman"/>
          <w:b w:val="false"/>
          <w:i w:val="false"/>
          <w:color w:val="000000"/>
          <w:sz w:val="21"/>
        </w:rPr>
        <w:t>[Filed emergency 4/21/94—published 5/11/94, effective 4/22/94]</w:t>
      </w:r>
    </w:p>
    <w:p>
      <w:pPr>
        <w:spacing w:before="0" w:after="0"/>
        <w:ind w:left="120"/>
        <w:jc w:val="center"/>
      </w:pPr>
      <w:r>
        <w:rPr>
          <w:rFonts w:ascii="Times New Roman" w:hAnsi="Times New Roman"/>
          <w:b w:val="false"/>
          <w:i w:val="false"/>
          <w:color w:val="000000"/>
          <w:sz w:val="21"/>
        </w:rPr>
        <w:t>[Filed 8/23/94, Notice 5/11/94—published 9/14/94, effective 10/19/94]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8.10.1.pdf" Type="http://schemas.openxmlformats.org/officeDocument/2006/relationships/hyperlink" Id="rId5"/>
    <Relationship TargetMode="External" Target="https://www.legis.iowa.gov/docs/ico/chapter/18.13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