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OPERATIONS</w:t>
      </w:r>
    </w:p>
    <w:p>
      <w:pPr>
        <w:spacing w:before="0" w:after="0"/>
        <w:ind w:left="120"/>
        <w:jc w:val="center"/>
      </w:pPr>
      <w:r>
        <w:rPr>
          <w:rFonts w:ascii="Times New Roman" w:hAnsi="Times New Roman"/>
          <w:b w:val="false"/>
          <w:i w:val="false"/>
          <w:color w:val="000000"/>
          <w:sz w:val="14"/>
        </w:rPr>
        <w:t>[Prior to 5/18/88 see Higher Education Loan Authority 480—Ch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284—1.1</w:t>
      </w:r>
      <w:r>
        <w:rPr>
          <w:rFonts w:ascii="Times New Roman" w:hAnsi="Times New Roman"/>
          <w:b/>
          <w:i w:val="false"/>
          <w:color w:val="000000"/>
          <w:sz w:val="22"/>
        </w:rPr>
        <w:t xml:space="preserve">(261A)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mailing address of the authority is located at 1105 High Road, Box 214, Norwalk, Iowa 50211.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The authority. </w:t>
      </w:r>
      <w:r>
        <w:rPr>
          <w:rFonts w:ascii="Times New Roman" w:hAnsi="Times New Roman"/>
          <w:b w:val="false"/>
          <w:i w:val="false"/>
          <w:color w:val="000000"/>
          <w:sz w:val="22"/>
        </w:rPr>
        <w:t xml:space="preserve">The powers of the authority are vested in and exercised by the members of the authority pursuant to Iowa Code chapter </w:t>
      </w:r>
      <w:hyperlink r:id="rId5">
        <w:r>
          <w:rPr>
            <w:rStyle w:val="Hyperlink"/>
            <w:rFonts w:ascii="Times New Roman" w:hAnsi="Times New Roman"/>
            <w:b w:val="false"/>
            <w:i w:val="false"/>
            <w:color w:val="000000"/>
            <w:sz w:val="22"/>
          </w:rPr>
          <w:t>261A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chairperson of the authority presides at each meeting. Members of the public may be recognized at the discretion of the chairperson. All meetings are open to the public in accordance with the open meetings law,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notice. The authority will give advance public notice of the specific date, time and place of each authority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authority meetings are recorded by the secretary and kept in the authority’s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color w:val="000000"/>
          <w:sz w:val="22"/>
        </w:rPr>
        <w:t xml:space="preserve">Submission and requests. </w:t>
      </w:r>
      <w:r>
        <w:rPr>
          <w:rFonts w:ascii="Times New Roman" w:hAnsi="Times New Roman"/>
          <w:b w:val="false"/>
          <w:i w:val="false"/>
          <w:color w:val="000000"/>
          <w:sz w:val="22"/>
        </w:rPr>
        <w:t xml:space="preserve">Inquiries, submissions, petitions, and other requests directed to the authority may be made in writing addressed to the authority’s mailing address listed in subrule </w:t>
      </w:r>
      <w:hyperlink r:id="rId7">
        <w:r>
          <w:rPr>
            <w:rStyle w:val="Hyperlink"/>
            <w:rFonts w:ascii="Times New Roman" w:hAnsi="Times New Roman"/>
            <w:b w:val="false"/>
            <w:i w:val="false"/>
            <w:color w:val="000000"/>
            <w:sz w:val="22"/>
          </w:rPr>
          <w:t>1.1(1)</w:t>
        </w:r>
      </w:hyperlink>
      <w:r>
        <w:rPr>
          <w:rFonts w:ascii="Times New Roman" w:hAnsi="Times New Roman"/>
          <w:b w:val="false"/>
          <w:i w:val="false"/>
          <w:color w:val="000000"/>
          <w:sz w:val="22"/>
        </w:rPr>
        <w:t>. Any person may petition for a written or oral hearing before the authority. All requests for a hearing are in writing and state the specific subject to be discussed and the reasons why a personal appearance is necessary if one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programs. </w:t>
      </w:r>
      <w:r>
        <w:rPr>
          <w:rFonts w:ascii="Times New Roman" w:hAnsi="Times New Roman"/>
          <w:b w:val="false"/>
          <w:i w:val="false"/>
          <w:color w:val="000000"/>
          <w:sz w:val="22"/>
        </w:rPr>
        <w:t xml:space="preserve">The authority may adopt manuals, instructions or other statements as necessary to assist its employees in administering its programs and to permit individuals and organizations to participate in programs administered by the authority. Copies of all manuals, instructions and other statements are kept in the authority’s possession and are available for public inspection, except for those portions that are excluded from the definition of “rule” by Iowa Code section </w:t>
      </w:r>
      <w:hyperlink r:id="rId8">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that must be kept confidential under applicable statutes or these rules. Members of the public may inspect the materials adopted pursuant to this rule, subject to the exceptions set out above, during regular business hours and may obtain a reasonable number of copies of the materials upon payment of a fee not to exceed the cost of providing copies.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261A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4/15/86, Notice 2/12/86—published 5/7/86, effective 6/11/86]</w:t>
      </w:r>
    </w:p>
    <w:p>
      <w:pPr>
        <w:spacing w:before="0" w:after="0"/>
        <w:ind w:left="120"/>
        <w:jc w:val="center"/>
      </w:pPr>
      <w:r>
        <w:rPr>
          <w:rFonts w:ascii="Times New Roman" w:hAnsi="Times New Roman"/>
          <w:b w:val="false"/>
          <w:i w:val="false"/>
          <w:color w:val="000000"/>
          <w:sz w:val="21"/>
        </w:rPr>
        <w:t>[Filed 4/28/88, Notice 3/23/88—published 5/18/88, effective 7/1/88]</w:t>
      </w:r>
    </w:p>
    <w:p>
      <w:pPr>
        <w:spacing w:before="0" w:after="0"/>
        <w:ind w:left="120"/>
        <w:jc w:val="center"/>
      </w:pPr>
      <w:r>
        <w:rPr>
          <w:rFonts w:ascii="Times New Roman" w:hAnsi="Times New Roman"/>
          <w:b w:val="false"/>
          <w:i w:val="false"/>
          <w:color w:val="000000"/>
          <w:sz w:val="21"/>
        </w:rPr>
        <w:t>[Filed ARC 0104D</w:t>
      </w:r>
      <w:r>
        <w:rPr>
          <w:rFonts w:ascii="Times New Roman" w:hAnsi="Times New Roman"/>
          <w:b w:val="false"/>
          <w:i w:val="false"/>
          <w:color w:val="000000"/>
          <w:sz w:val="21"/>
        </w:rPr>
        <w:t xml:space="preserve"> (Notice ARC 9866C, IAB 12/24/25)</w:t>
      </w:r>
      <w:r>
        <w:rPr>
          <w:rFonts w:ascii="Times New Roman" w:hAnsi="Times New Roman"/>
          <w:b w:val="false"/>
          <w:i w:val="false"/>
          <w:color w:val="000000"/>
          <w:sz w:val="21"/>
        </w:rPr>
        <w:t>, IAB 3/4/26, effective 4/8/26]</w:t>
      </w:r>
    </w:p>
    <w:sectPr>
      <w:footerReference r:id="rId1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A.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ac/rule/284.1.1.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261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