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210" w:after="0"/>
        <w:ind w:left="120"/>
        <w:jc w:val="both"/>
      </w:pPr>
      <w:r>
        <w:rPr>
          <w:rFonts w:ascii="Times New Roman" w:hAnsi="Times New Roman"/>
          <w:b/>
          <w:i w:val="false"/>
          <w:color w:val="000000"/>
          <w:sz w:val="22"/>
        </w:rPr>
        <w:t>283—6.1</w:t>
      </w:r>
      <w:r>
        <w:rPr>
          <w:rFonts w:ascii="Times New Roman" w:hAnsi="Times New Roman"/>
          <w:b/>
          <w:i w:val="false"/>
          <w:color w:val="000000"/>
          <w:sz w:val="22"/>
        </w:rPr>
        <w:t xml:space="preserve">(17A,22) </w:t>
      </w:r>
      <w:r>
        <w:rPr>
          <w:rFonts w:ascii="Times New Roman" w:hAnsi="Times New Roman"/>
          <w:b/>
          <w:i w:val="false"/>
          <w:color w:val="000000"/>
          <w:sz w:val="22"/>
        </w:rPr>
        <w:t xml:space="preserve">Exceptions and additions.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283—6.2</w:t>
      </w:r>
      <w:r>
        <w:rPr>
          <w:rFonts w:ascii="Times New Roman" w:hAnsi="Times New Roman"/>
          <w:b/>
          <w:i w:val="false"/>
          <w:color w:val="000000"/>
          <w:sz w:val="22"/>
        </w:rPr>
        <w:t xml:space="preserve">(22,256)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283—6.3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This rule lists the commission records that are open to the public, those that are confidential, and those that are partially open and partially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 records are listed by category, according to the legal basis for confidential treatment (if any). The commission administers federally funded programs, as well as state programs, and is authorized by Iowa Code section </w:t>
      </w:r>
      <w:hyperlink r:id="rId5">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to enforce confidentiality standards for federal law and regulations as are required for receipt of the funds. A single record may contain information from several categories.</w:t>
      </w:r>
    </w:p>
    <w:p>
      <w:pPr>
        <w:spacing w:before="0" w:after="0"/>
        <w:ind w:left="120"/>
        <w:jc w:val="both"/>
      </w:pP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The chart indicates whether the record contains personally identifiable information and indicates the legal authority for confidentiality and for the collection of personally identifiable information.</w:t>
      </w:r>
    </w:p>
    <w:tbl>
      <w:tblPr>
        <w:tblW w:w="0" w:type="auto"/>
        <w:tblCellSpacing w:w="0" w:type="auto"/>
        <w:tblBorders>
          <w:top w:val="none"/>
          <w:left w:val="none"/>
          <w:bottom w:val="none"/>
          <w:right w:val="none"/>
          <w:insideH w:val="none"/>
          <w:insideV w:val="none"/>
        </w:tblBorders>
        <w:tblLayout w:type="fixed"/>
      </w:tblPr>
      <w:tblGrid>
        <w:gridCol w:w="533"/>
        <w:gridCol w:w="4800"/>
        <w:gridCol w:w="693"/>
        <w:gridCol w:w="4267"/>
      </w:tblGrid>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Abbreviations are used in the chart as follows:</w:t>
            </w:r>
          </w:p>
        </w:tc>
      </w:tr>
      <w:tr>
        <w:trPr>
          <w:trHeight w:val="180" w:hRule="atLeast"/>
        </w:trPr>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Code</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Meaning</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Code</w:t>
            </w:r>
          </w:p>
        </w:tc>
        <w:tc>
          <w:tcPr>
            <w:tcW w:w="4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Meaning</w:t>
            </w:r>
          </w:p>
        </w:tc>
      </w:tr>
      <w:tr>
        <w:trPr>
          <w:trHeight w:val="180" w:hRule="atLeast"/>
        </w:trPr>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records are open for public inspection.</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4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 is partially open and partially confidential.</w:t>
            </w:r>
          </w:p>
        </w:tc>
      </w:tr>
      <w:tr>
        <w:trPr>
          <w:trHeight w:val="345" w:hRule="atLeast"/>
        </w:trPr>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The records are confidential and are not open to </w:t>
            </w:r>
          </w:p>
          <w:p>
            <w:pPr>
              <w:spacing w:before="0" w:after="0" w:line="264"/>
              <w:ind w:left="268"/>
              <w:jc w:val="left"/>
            </w:pPr>
            <w:r>
              <w:rPr>
                <w:rFonts w:ascii="Times New Roman" w:hAnsi="Times New Roman"/>
                <w:b w:val="false"/>
                <w:i w:val="false"/>
                <w:color w:val="000000"/>
                <w:sz w:val="14"/>
              </w:rPr>
              <w:t>public inspection.</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O/E</w:t>
            </w:r>
          </w:p>
        </w:tc>
        <w:tc>
          <w:tcPr>
            <w:tcW w:w="4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The record is partially open to the public and partially </w:t>
            </w:r>
          </w:p>
          <w:p>
            <w:pPr>
              <w:spacing w:before="0" w:after="0" w:line="264"/>
              <w:ind w:left="268"/>
              <w:jc w:val="left"/>
            </w:pPr>
            <w:r>
              <w:rPr>
                <w:rFonts w:ascii="Times New Roman" w:hAnsi="Times New Roman"/>
                <w:b w:val="false"/>
                <w:i w:val="false"/>
                <w:color w:val="000000"/>
                <w:sz w:val="14"/>
              </w:rPr>
              <w:t>exempt from disclosure.</w:t>
            </w:r>
          </w:p>
        </w:tc>
      </w:tr>
      <w:tr>
        <w:trPr>
          <w:trHeight w:val="495" w:hRule="atLeast"/>
        </w:trPr>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w:t>
            </w:r>
          </w:p>
        </w:tc>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The record is exempt from mandatory disclosure to</w:t>
            </w:r>
          </w:p>
          <w:p>
            <w:pPr>
              <w:spacing w:before="0" w:after="0" w:line="264"/>
              <w:ind w:left="268"/>
              <w:jc w:val="left"/>
            </w:pPr>
            <w:r>
              <w:rPr>
                <w:rFonts w:ascii="Times New Roman" w:hAnsi="Times New Roman"/>
                <w:b w:val="false"/>
                <w:i w:val="false"/>
                <w:color w:val="000000"/>
                <w:sz w:val="14"/>
              </w:rPr>
              <w:t>members of the public.</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O/E/C</w:t>
            </w:r>
          </w:p>
        </w:tc>
        <w:tc>
          <w:tcPr>
            <w:tcW w:w="4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The record is partially open to the public, partially </w:t>
            </w:r>
          </w:p>
          <w:p>
            <w:pPr>
              <w:spacing w:before="0" w:after="0" w:line="264"/>
              <w:ind w:left="268"/>
              <w:jc w:val="left"/>
            </w:pPr>
            <w:r>
              <w:rPr>
                <w:rFonts w:ascii="Times New Roman" w:hAnsi="Times New Roman"/>
                <w:b w:val="false"/>
                <w:i w:val="false"/>
                <w:color w:val="000000"/>
                <w:sz w:val="14"/>
              </w:rPr>
              <w:t xml:space="preserve">exempt from disclosure, and partially confidential </w:t>
            </w:r>
          </w:p>
          <w:p>
            <w:pPr>
              <w:spacing w:before="0" w:after="0" w:line="264"/>
              <w:ind w:left="268"/>
              <w:jc w:val="left"/>
            </w:pPr>
            <w:r>
              <w:rPr>
                <w:rFonts w:ascii="Times New Roman" w:hAnsi="Times New Roman"/>
                <w:b w:val="false"/>
                <w:i w:val="false"/>
                <w:color w:val="000000"/>
                <w:sz w:val="14"/>
              </w:rPr>
              <w:t>and not open to the public.</w:t>
            </w:r>
          </w:p>
        </w:tc>
      </w:tr>
      <w:tr>
        <w:trPr>
          <w:trHeight w:val="345" w:hRule="atLeast"/>
        </w:trPr>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E/C</w:t>
            </w:r>
          </w:p>
        </w:tc>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The record is exempt from mandatory disclosure to the</w:t>
            </w:r>
          </w:p>
          <w:p>
            <w:pPr>
              <w:spacing w:before="0" w:after="0" w:line="264"/>
              <w:ind w:left="268"/>
              <w:jc w:val="left"/>
            </w:pPr>
            <w:r>
              <w:rPr>
                <w:rFonts w:ascii="Times New Roman" w:hAnsi="Times New Roman"/>
                <w:b w:val="false"/>
                <w:i w:val="false"/>
                <w:color w:val="000000"/>
                <w:sz w:val="14"/>
              </w:rPr>
              <w:t>public and is confidential and not open to public inspection.</w:t>
            </w:r>
          </w:p>
        </w:tc>
        <w:tc>
          <w:tcPr>
            <w:tcW w:w="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w:t>
            </w:r>
          </w:p>
        </w:tc>
        <w:tc>
          <w:tcPr>
            <w:tcW w:w="4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Not applicable.</w:t>
            </w:r>
          </w:p>
        </w:tc>
      </w:tr>
    </w:tbl>
    <w:tbl>
      <w:tblPr>
        <w:tblW w:w="0" w:type="auto"/>
        <w:tblCellSpacing w:w="0" w:type="auto"/>
        <w:tblBorders>
          <w:top w:val="single" w:color="000000" w:sz="8"/>
          <w:left w:val="none"/>
          <w:bottom w:val="none"/>
          <w:right w:val="none"/>
          <w:insideH w:val="none"/>
          <w:insideV w:val="none"/>
        </w:tblBorders>
        <w:tblLayout w:type="fixed"/>
      </w:tblPr>
      <w:tblGrid>
        <w:gridCol w:w="4693"/>
        <w:gridCol w:w="747"/>
        <w:gridCol w:w="2453"/>
        <w:gridCol w:w="1333"/>
        <w:gridCol w:w="1707"/>
      </w:tblGrid>
      <w:tr>
        <w:trPr>
          <w:trHeight w:val="660" w:hRule="atLeast"/>
        </w:trPr>
        <w:tc>
          <w:tcPr>
            <w:tcW w:w="4693"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DESCRIPTION OF RECORD</w:t>
            </w:r>
          </w:p>
        </w:tc>
        <w:tc>
          <w:tcPr>
            <w:tcW w:w="747"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TYPE OF RECORD</w:t>
            </w:r>
          </w:p>
        </w:tc>
        <w:tc>
          <w:tcPr>
            <w:tcW w:w="2453"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LEGAL AUTHORITY FOR CONFIDENTIALITY</w:t>
            </w:r>
          </w:p>
        </w:tc>
        <w:tc>
          <w:tcPr>
            <w:tcW w:w="1333"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PERSONALLY IDENTIFIABLE INFORMATION</w:t>
            </w:r>
          </w:p>
        </w:tc>
        <w:tc>
          <w:tcPr>
            <w:tcW w:w="1707"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LEGAL AUTHORITY FOR INFORMATION</w:t>
            </w:r>
          </w:p>
        </w:tc>
      </w:tr>
      <w:tr>
        <w:trPr>
          <w:trHeight w:val="195"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Records of Commission, Advisory Council, and Committees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O/E</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Iowa Code </w:t>
            </w:r>
            <w:hyperlink r:id="rId6">
              <w:r>
                <w:rPr>
                  <w:rStyle w:val="Hyperlink"/>
                  <w:rFonts w:ascii="Times New Roman" w:hAnsi="Times New Roman"/>
                  <w:b w:val="false"/>
                  <w:i w:val="false"/>
                  <w:color w:val="000000"/>
                  <w:sz w:val="14"/>
                </w:rPr>
                <w:t>21.5</w:t>
              </w:r>
            </w:hyperlink>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Rulemaking</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Declaratory Ruling Records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O/C</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Iowa Code </w:t>
            </w:r>
            <w:hyperlink r:id="rId7">
              <w:r>
                <w:rPr>
                  <w:rStyle w:val="Hyperlink"/>
                  <w:rFonts w:ascii="Times New Roman" w:hAnsi="Times New Roman"/>
                  <w:b w:val="false"/>
                  <w:i w:val="false"/>
                  <w:color w:val="000000"/>
                  <w:sz w:val="14"/>
                </w:rPr>
                <w:t>22.7</w:t>
              </w:r>
            </w:hyperlink>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Rules and Policy Manuals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General Correspondence</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O/E/C</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Iowa Code </w:t>
            </w:r>
            <w:hyperlink r:id="rId8">
              <w:r>
                <w:rPr>
                  <w:rStyle w:val="Hyperlink"/>
                  <w:rFonts w:ascii="Times New Roman" w:hAnsi="Times New Roman"/>
                  <w:b w:val="false"/>
                  <w:i w:val="false"/>
                  <w:color w:val="000000"/>
                  <w:sz w:val="14"/>
                </w:rPr>
                <w:t>22.7</w:t>
              </w:r>
            </w:hyperlink>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Yes</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645" w:hRule="atLeast"/>
        </w:trPr>
        <w:tc>
          <w:tcPr>
            <w:tcW w:w="469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Publications</w:t>
            </w:r>
            <w:r>
              <w:br/>
            </w:r>
          </w:p>
          <w:p>
            <w:pPr>
              <w:spacing w:before="0" w:after="0" w:line="264"/>
              <w:ind w:left="160"/>
              <w:jc w:val="left"/>
            </w:pPr>
            <w:r>
              <w:rPr>
                <w:rFonts w:ascii="Times New Roman" w:hAnsi="Times New Roman"/>
                <w:b w:val="false"/>
                <w:i w:val="false"/>
                <w:color w:val="000000"/>
                <w:sz w:val="14"/>
              </w:rPr>
              <w:t>• General</w:t>
            </w:r>
          </w:p>
          <w:p>
            <w:pPr>
              <w:spacing w:before="0" w:after="0" w:line="264"/>
              <w:ind w:left="160"/>
              <w:jc w:val="left"/>
            </w:pPr>
            <w:r>
              <w:rPr>
                <w:rFonts w:ascii="Times New Roman" w:hAnsi="Times New Roman"/>
                <w:b w:val="false"/>
                <w:i w:val="false"/>
                <w:color w:val="000000"/>
                <w:sz w:val="14"/>
              </w:rPr>
              <w:t>• GSL</w:t>
            </w:r>
          </w:p>
          <w:p>
            <w:pPr>
              <w:spacing w:before="0" w:after="0" w:line="264"/>
              <w:ind w:left="160"/>
              <w:jc w:val="left"/>
            </w:pPr>
            <w:r>
              <w:rPr>
                <w:rFonts w:ascii="Times New Roman" w:hAnsi="Times New Roman"/>
                <w:b w:val="false"/>
                <w:i w:val="false"/>
                <w:color w:val="000000"/>
                <w:sz w:val="14"/>
              </w:rPr>
              <w:t>• Scholarship</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Statistical Reports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Staff Reports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Financial &amp; Administrative Records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O/E/C</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Iowa Code </w:t>
            </w:r>
            <w:hyperlink r:id="rId9">
              <w:r>
                <w:rPr>
                  <w:rStyle w:val="Hyperlink"/>
                  <w:rFonts w:ascii="Times New Roman" w:hAnsi="Times New Roman"/>
                  <w:b w:val="false"/>
                  <w:i w:val="false"/>
                  <w:color w:val="000000"/>
                  <w:sz w:val="14"/>
                </w:rPr>
                <w:t>22.7</w:t>
              </w:r>
            </w:hyperlink>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Yes</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Registration and Approval Records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Contracts and Interagency Agreements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O/C</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Iowa Code </w:t>
            </w:r>
            <w:hyperlink r:id="rId10">
              <w:r>
                <w:rPr>
                  <w:rStyle w:val="Hyperlink"/>
                  <w:rFonts w:ascii="Times New Roman" w:hAnsi="Times New Roman"/>
                  <w:b w:val="false"/>
                  <w:i w:val="false"/>
                  <w:color w:val="000000"/>
                  <w:sz w:val="14"/>
                </w:rPr>
                <w:t>22.7(3)</w:t>
              </w:r>
            </w:hyperlink>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Sealed Bids Prior to Public Opening</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Iowa Code </w:t>
            </w:r>
            <w:hyperlink r:id="rId11">
              <w:r>
                <w:rPr>
                  <w:rStyle w:val="Hyperlink"/>
                  <w:rFonts w:ascii="Times New Roman" w:hAnsi="Times New Roman"/>
                  <w:b w:val="false"/>
                  <w:i w:val="false"/>
                  <w:color w:val="000000"/>
                  <w:sz w:val="14"/>
                </w:rPr>
                <w:t>22.3</w:t>
              </w:r>
            </w:hyperlink>
            <w:r>
              <w:rPr>
                <w:rFonts w:ascii="Times New Roman" w:hAnsi="Times New Roman"/>
                <w:b w:val="false"/>
                <w:i w:val="false"/>
                <w:color w:val="000000"/>
                <w:sz w:val="14"/>
              </w:rPr>
              <w:t xml:space="preserve">, </w:t>
            </w:r>
            <w:hyperlink r:id="rId12">
              <w:r>
                <w:rPr>
                  <w:rStyle w:val="Hyperlink"/>
                  <w:rFonts w:ascii="Times New Roman" w:hAnsi="Times New Roman"/>
                  <w:b w:val="false"/>
                  <w:i w:val="false"/>
                  <w:color w:val="000000"/>
                  <w:sz w:val="14"/>
                </w:rPr>
                <w:t>22.7</w:t>
              </w:r>
            </w:hyperlink>
            <w:r>
              <w:rPr>
                <w:rFonts w:ascii="Times New Roman" w:hAnsi="Times New Roman"/>
                <w:b w:val="false"/>
                <w:i w:val="false"/>
                <w:color w:val="000000"/>
                <w:sz w:val="14"/>
              </w:rPr>
              <w:t xml:space="preserve"> and </w:t>
            </w:r>
            <w:hyperlink r:id="rId13">
              <w:r>
                <w:rPr>
                  <w:rStyle w:val="Hyperlink"/>
                  <w:rFonts w:ascii="Times New Roman" w:hAnsi="Times New Roman"/>
                  <w:b w:val="false"/>
                  <w:i w:val="false"/>
                  <w:color w:val="000000"/>
                  <w:sz w:val="14"/>
                </w:rPr>
                <w:t>72.3</w:t>
              </w:r>
            </w:hyperlink>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Appeal Records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O/C</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Iowa Code </w:t>
            </w:r>
            <w:hyperlink r:id="rId14">
              <w:r>
                <w:rPr>
                  <w:rStyle w:val="Hyperlink"/>
                  <w:rFonts w:ascii="Times New Roman" w:hAnsi="Times New Roman"/>
                  <w:b w:val="false"/>
                  <w:i w:val="false"/>
                  <w:color w:val="000000"/>
                  <w:sz w:val="14"/>
                </w:rPr>
                <w:t>22.7</w:t>
              </w:r>
            </w:hyperlink>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Yes</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80" w:hRule="atLeast"/>
        </w:trPr>
        <w:tc>
          <w:tcPr>
            <w:tcW w:w="46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Litigation Files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O/E/C</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Iowa Code </w:t>
            </w:r>
            <w:hyperlink r:id="rId15">
              <w:r>
                <w:rPr>
                  <w:rStyle w:val="Hyperlink"/>
                  <w:rFonts w:ascii="Times New Roman" w:hAnsi="Times New Roman"/>
                  <w:b w:val="false"/>
                  <w:i w:val="false"/>
                  <w:color w:val="000000"/>
                  <w:sz w:val="14"/>
                </w:rPr>
                <w:t>22.7</w:t>
              </w:r>
            </w:hyperlink>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Yes</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495" w:hRule="atLeast"/>
        </w:trPr>
        <w:tc>
          <w:tcPr>
            <w:tcW w:w="469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Privileged Communication and Products of</w:t>
            </w:r>
          </w:p>
          <w:p>
            <w:pPr>
              <w:spacing w:before="0" w:after="0" w:line="264"/>
              <w:ind w:left="268"/>
              <w:jc w:val="left"/>
            </w:pPr>
            <w:r>
              <w:rPr>
                <w:rFonts w:ascii="Times New Roman" w:hAnsi="Times New Roman"/>
                <w:b w:val="false"/>
                <w:i w:val="false"/>
                <w:color w:val="000000"/>
                <w:sz w:val="14"/>
              </w:rPr>
              <w:t>Attorneys Representing the Commission</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E/C</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Iowa Code 22.7, Iowa Code of Professional Responsibility for Lawyers, Canon 4</w:t>
            </w:r>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765" w:hRule="atLeast"/>
        </w:trPr>
        <w:tc>
          <w:tcPr>
            <w:tcW w:w="469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Individual Applicant/Recipient Records (such as those </w:t>
            </w:r>
          </w:p>
          <w:p>
            <w:pPr>
              <w:spacing w:before="0" w:after="0" w:line="264"/>
              <w:ind w:left="268"/>
              <w:jc w:val="left"/>
            </w:pPr>
            <w:r>
              <w:rPr>
                <w:rFonts w:ascii="Times New Roman" w:hAnsi="Times New Roman"/>
                <w:b w:val="false"/>
                <w:i w:val="false"/>
                <w:color w:val="000000"/>
                <w:sz w:val="14"/>
              </w:rPr>
              <w:t>collected under the Iowa Tuition Grant and Iowa Vocational-Technical Tuition Grant Programs)</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Iowa Code </w:t>
            </w:r>
            <w:hyperlink r:id="rId16">
              <w:r>
                <w:rPr>
                  <w:rStyle w:val="Hyperlink"/>
                  <w:rFonts w:ascii="Times New Roman" w:hAnsi="Times New Roman"/>
                  <w:b w:val="false"/>
                  <w:i w:val="false"/>
                  <w:color w:val="000000"/>
                  <w:sz w:val="14"/>
                </w:rPr>
                <w:t>22.7</w:t>
              </w:r>
            </w:hyperlink>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Yes</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Sec. 428[b-c] and Sec. 488[c]</w:t>
            </w:r>
          </w:p>
        </w:tc>
      </w:tr>
      <w:tr>
        <w:trPr>
          <w:trHeight w:val="495" w:hRule="atLeast"/>
        </w:trPr>
        <w:tc>
          <w:tcPr>
            <w:tcW w:w="469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State and Federal Program Records (such as those </w:t>
            </w:r>
          </w:p>
          <w:p>
            <w:pPr>
              <w:spacing w:before="0" w:after="0" w:line="264"/>
              <w:ind w:left="268"/>
              <w:jc w:val="left"/>
            </w:pPr>
            <w:r>
              <w:rPr>
                <w:rFonts w:ascii="Times New Roman" w:hAnsi="Times New Roman"/>
                <w:b w:val="false"/>
                <w:i w:val="false"/>
                <w:color w:val="000000"/>
                <w:sz w:val="14"/>
              </w:rPr>
              <w:t xml:space="preserve">maintained under the Iowa Tuition Grant Program and the John R. Justice Student Loan Repayment Program) </w:t>
            </w:r>
          </w:p>
        </w:tc>
        <w:tc>
          <w:tcPr>
            <w:tcW w:w="7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w:t>
            </w:r>
          </w:p>
        </w:tc>
        <w:tc>
          <w:tcPr>
            <w:tcW w:w="24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w:t>
            </w:r>
          </w:p>
        </w:tc>
        <w:tc>
          <w:tcPr>
            <w:tcW w:w="170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283—6.4</w:t>
      </w:r>
      <w:r>
        <w:rPr>
          <w:rFonts w:ascii="Times New Roman" w:hAnsi="Times New Roman"/>
          <w:b/>
          <w:i w:val="false"/>
          <w:color w:val="000000"/>
          <w:sz w:val="22"/>
        </w:rPr>
        <w:t xml:space="preserve">(22,256)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5/13/88, Notice 4/6/88—published 6/1/88, effective 7/6/88]</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1869C</w:t>
      </w:r>
      <w:r>
        <w:rPr>
          <w:rFonts w:ascii="Times New Roman" w:hAnsi="Times New Roman"/>
          <w:b w:val="false"/>
          <w:i w:val="false"/>
          <w:color w:val="000000"/>
          <w:sz w:val="21"/>
        </w:rPr>
        <w:t xml:space="preserve"> (Notice ARC 1689C, IAB 10/29/14)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p>
      <w:pPr>
        <w:spacing w:before="0" w:after="0"/>
        <w:ind w:left="120"/>
        <w:jc w:val="center"/>
      </w:pPr>
      <w:r>
        <w:rPr>
          <w:rFonts w:ascii="Times New Roman" w:hAnsi="Times New Roman"/>
          <w:b w:val="false"/>
          <w:i w:val="false"/>
          <w:color w:val="000000"/>
          <w:sz w:val="21"/>
        </w:rPr>
        <w:t>[Filed ARC 0044D</w:t>
      </w:r>
      <w:r>
        <w:rPr>
          <w:rFonts w:ascii="Times New Roman" w:hAnsi="Times New Roman"/>
          <w:b w:val="false"/>
          <w:i w:val="false"/>
          <w:color w:val="000000"/>
          <w:sz w:val="21"/>
        </w:rPr>
        <w:t xml:space="preserve"> (Notice ARC 9746C, IAB 11/26/25)</w:t>
      </w:r>
      <w:r>
        <w:rPr>
          <w:rFonts w:ascii="Times New Roman" w:hAnsi="Times New Roman"/>
          <w:b w:val="false"/>
          <w:i w:val="false"/>
          <w:color w:val="000000"/>
          <w:sz w:val="21"/>
        </w:rPr>
        <w:t>, IAB 2/4/26, effective 3/11/26]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9.pdf" Type="http://schemas.openxmlformats.org/officeDocument/2006/relationships/hyperlink" Id="rId5"/>
    <Relationship TargetMode="External" Target="https://www.legis.iowa.gov/docs/ico/chapter/21.5.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3.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72.3.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17A.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