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WORKFORCE GRANT AND INCENTIVE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11/17/28</w:t>
      </w:r>
    </w:p>
    <w:p>
      <w:pPr>
        <w:spacing w:before="0" w:after="0"/>
        <w:ind w:left="120"/>
        <w:jc w:val="both"/>
      </w:pPr>
      <w:r>
        <w:rPr>
          <w:rFonts w:ascii="Times New Roman" w:hAnsi="Times New Roman"/>
          <w:b/>
          <w:i w:val="false"/>
          <w:color w:val="000000"/>
          <w:sz w:val="22"/>
        </w:rPr>
        <w:t>283—34.1</w:t>
      </w:r>
      <w:r>
        <w:rPr>
          <w:rFonts w:ascii="Times New Roman" w:hAnsi="Times New Roman"/>
          <w:b/>
          <w:i w:val="false"/>
          <w:color w:val="000000"/>
          <w:sz w:val="22"/>
        </w:rPr>
        <w:t xml:space="preserve">(261) </w:t>
      </w:r>
      <w:r>
        <w:rPr>
          <w:rFonts w:ascii="Times New Roman" w:hAnsi="Times New Roman"/>
          <w:b/>
          <w:i w:val="false"/>
          <w:color w:val="000000"/>
          <w:sz w:val="22"/>
        </w:rPr>
        <w:t xml:space="preserve">Basis of aid. </w:t>
      </w:r>
      <w:r>
        <w:rPr>
          <w:rFonts w:ascii="Times New Roman" w:hAnsi="Times New Roman"/>
          <w:b w:val="false"/>
          <w:i w:val="false"/>
          <w:color w:val="000000"/>
          <w:sz w:val="22"/>
        </w:rPr>
        <w:t xml:space="preserve">Assistance available under the Iowa workforce grant and incentive program is based on the financial need of Iowa residents enrolled in eligible programs of study at universities under the Iowa board of regents.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283—34.2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“Academic year” </w:t>
      </w:r>
      <w:r>
        <w:rPr>
          <w:rFonts w:ascii="Times New Roman" w:hAnsi="Times New Roman"/>
          <w:b w:val="false"/>
          <w:i w:val="false"/>
          <w:color w:val="000000"/>
          <w:sz w:val="22"/>
        </w:rPr>
        <w:t>is defined as the fall, spring and summer semesters, in that sequence, within a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means the same as defined in Iowa Code section 256.230.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program” </w:t>
      </w:r>
      <w:r>
        <w:rPr>
          <w:rFonts w:ascii="Times New Roman" w:hAnsi="Times New Roman"/>
          <w:b w:val="false"/>
          <w:i w:val="false"/>
          <w:color w:val="000000"/>
          <w:sz w:val="22"/>
        </w:rPr>
        <w:t xml:space="preserve">means an undergraduate program of study as defined in </w:t>
      </w:r>
      <w:hyperlink r:id="rId5">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 xml:space="preserve"> that meets the provisions of Iowa Code section 256.230.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w:t>
      </w:r>
      <w:hyperlink r:id="rId7">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w:t>
      </w:r>
      <w:hyperlink r:id="rId8">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“High-demand job” </w:t>
      </w:r>
      <w:r>
        <w:rPr>
          <w:rFonts w:ascii="Times New Roman" w:hAnsi="Times New Roman"/>
          <w:b w:val="false"/>
          <w:i w:val="false"/>
          <w:color w:val="000000"/>
          <w:sz w:val="22"/>
        </w:rPr>
        <w:t>means the same as described in Iowa Code section 84A.1B(17).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w:t>
      </w:r>
      <w:hyperlink r:id="rId9">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w:t>
      </w:r>
      <w:hyperlink r:id="rId10">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283—34.3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Eligible workforce grant applicant. </w:t>
      </w:r>
      <w:r>
        <w:rPr>
          <w:rFonts w:ascii="Times New Roman" w:hAnsi="Times New Roman"/>
          <w:b w:val="false"/>
          <w:i w:val="false"/>
          <w:color w:val="000000"/>
          <w:sz w:val="22"/>
        </w:rPr>
        <w:t>An eligible applicant is an Iowa resident who is enrolled full-time or part-time as an undergraduate student in an eligible program at an eligible institution and who meets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Annually completes the applications the commission deems necessary on or before the date established by the commission.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2">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283—34.4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workforce grant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 xml:space="preserve">Eligible applicants may receive no more than four full-time or eight part-time semesters of awards, or the equivalent.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student’s financial need and will not exceed $2,000 per full-time semester.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part-time student will receive a prorated award, as established by the commission, based on the number of credit hours for which the student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Awards will be provided during the fall and spring semesters of enrollment. Awards during the summer semester of enrollment may be provided if funding allows.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34.4(3)</w:t>
      </w:r>
      <w:r>
        <w:rPr>
          <w:rFonts w:ascii="Times New Roman" w:hAnsi="Times New Roman"/>
          <w:b w:val="false"/>
          <w:i w:val="false"/>
          <w:color w:val="000000"/>
          <w:sz w:val="22"/>
        </w:rPr>
        <w:t> </w:t>
      </w:r>
      <w:r>
        <w:rPr>
          <w:rFonts w:ascii="Times New Roman" w:hAnsi="Times New Roman"/>
          <w:b w:val="false"/>
          <w:i/>
          <w:color w:val="000000"/>
          <w:sz w:val="22"/>
        </w:rPr>
        <w:t xml:space="preserve">Priority for awards. </w:t>
      </w:r>
      <w:r>
        <w:rPr>
          <w:rFonts w:ascii="Times New Roman" w:hAnsi="Times New Roman"/>
          <w:b w:val="false"/>
          <w:i w:val="false"/>
          <w:color w:val="000000"/>
          <w:sz w:val="22"/>
        </w:rPr>
        <w:t>In the event that funds available are insufficient to provide an award to all eligible applicants, awards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received a workforce grant in the prior academic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applicants with the lowest financial metrics.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applicants who are closest to the completion of their eligible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34.4(4)</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eligible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apply awards directly to student accounts to cover items included in the cost of attendance, as defined in Title IV of the federal Higher Education Act of 1965, as of July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provide information about eligible applicants to the commission in a format specified by the commission. Eligible institutions will make necessary changes to awards due to a change in enrollment, program of study, and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Eligible institutions will complete necessary verification and coordinate other aid to ensure compliance with student eligibility requirements and allowable award amounts. Eligible institutions will report changes in student eligibility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will periodically investigate and review compliance of eligible institutions participating in this state program with the criteria established in Iowa Code section 256.230 and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283—34.5</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Eligible incentive payment applicant. </w:t>
      </w:r>
      <w:r>
        <w:rPr>
          <w:rFonts w:ascii="Times New Roman" w:hAnsi="Times New Roman"/>
          <w:b w:val="false"/>
          <w:i w:val="false"/>
          <w:color w:val="000000"/>
          <w:sz w:val="22"/>
        </w:rPr>
        <w:t>Individuals who received a workforce grant and completed the eligible program within the same academic year may apply for the incentive payment if they meet the criteria of Iowa Code section 256.230 and are employed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283—34.6</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incentive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incentive payment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Extent of award and maximum award. </w:t>
      </w:r>
      <w:r>
        <w:rPr>
          <w:rFonts w:ascii="Times New Roman" w:hAnsi="Times New Roman"/>
          <w:b w:val="false"/>
          <w:i w:val="false"/>
          <w:color w:val="000000"/>
          <w:sz w:val="22"/>
        </w:rPr>
        <w:t>Eligible incentive payment applicants may apply for no more than one incentive payment of up to $2,000.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availability of the incentive payment application to eligible incentive payment applicants following completion of the eligible program. Eligible incentive payment applicants will apply for the incentive and begin full-time employment in a high-demand job in Iowa within six months of completing the eligible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application deadline, the commission will designate eligible applicants for awards and begin tracking their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the applicant has completed 12 consecutive months of full-time employment, commission staff will verify with the Iowa employer that the applicant was employed full-time in a job position that is aligned with a high-demand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verification with the employer, the commission will make payment to the eligible incentive payment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7130C</w:t>
      </w:r>
      <w:r>
        <w:rPr>
          <w:rFonts w:ascii="Times New Roman" w:hAnsi="Times New Roman"/>
          <w:b w:val="false"/>
          <w:i w:val="false"/>
          <w:color w:val="000000"/>
          <w:sz w:val="16"/>
        </w:rPr>
        <w:t>, IAB 12/13/23, effective 11/17/23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2023 Iowa Acts, Senate File 560</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7130C</w:t>
      </w:r>
      <w:r>
        <w:rPr>
          <w:rFonts w:ascii="Times New Roman" w:hAnsi="Times New Roman"/>
          <w:b w:val="false"/>
          <w:i w:val="false"/>
          <w:color w:val="000000"/>
          <w:sz w:val="21"/>
        </w:rPr>
        <w:t xml:space="preserve"> (Notice ARC 7100C, IAB 10/4/23)</w:t>
      </w:r>
      <w:r>
        <w:rPr>
          <w:rFonts w:ascii="Times New Roman" w:hAnsi="Times New Roman"/>
          <w:b w:val="false"/>
          <w:i w:val="false"/>
          <w:color w:val="000000"/>
          <w:sz w:val="21"/>
        </w:rPr>
        <w:t>, IAB 12/13/23, effective 11/17/23]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283.10.pdf" Type="http://schemas.openxmlformats.org/officeDocument/2006/relationships/hyperlink" Id="rId5"/>
    <Relationship TargetMode="External" Target="https://www.legis.iowa.gov/docs/iac/chapter/283.10.pdf" Type="http://schemas.openxmlformats.org/officeDocument/2006/relationships/hyperlink" Id="rId6"/>
    <Relationship TargetMode="External" Target="https://www.legis.iowa.gov/docs/iac/chapter/283.10.pdf" Type="http://schemas.openxmlformats.org/officeDocument/2006/relationships/hyperlink" Id="rId7"/>
    <Relationship TargetMode="External" Target="https://www.legis.iowa.gov/docs/iac/chapter/283.10.pdf" Type="http://schemas.openxmlformats.org/officeDocument/2006/relationships/hyperlink" Id="rId8"/>
    <Relationship TargetMode="External" Target="https://www.legis.iowa.gov/docs/iac/chapter/283.10.pdf" Type="http://schemas.openxmlformats.org/officeDocument/2006/relationships/hyperlink" Id="rId9"/>
    <Relationship TargetMode="External" Target="https://www.legis.iowa.gov/docs/iac/chapter/283.10.pdf" Type="http://schemas.openxmlformats.org/officeDocument/2006/relationships/hyperlink" Id="rId10"/>
    <Relationship TargetMode="External" Target="https://www.legis.iowa.gov/docs/iac/chapter/283.10.pdf" Type="http://schemas.openxmlformats.org/officeDocument/2006/relationships/hyperlink" Id="rId11"/>
    <Relationship TargetMode="External" Target="https://www.legis.iowa.gov/docs/iac/rule/283.10.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