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TEACH IOWA SCHOLAR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283—28.1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 xml:space="preserve">means an individual who meets the criteria in Iowa Code section </w:t>
      </w:r>
      <w:hyperlink r:id="rId5">
        <w:r>
          <w:rPr>
            <w:rStyle w:val="Hyperlink"/>
            <w:rFonts w:ascii="Times New Roman" w:hAnsi="Times New Roman"/>
            <w:b w:val="false"/>
            <w:i w:val="false"/>
            <w:color w:val="000000"/>
            <w:sz w:val="22"/>
          </w:rPr>
          <w:t>256.218(3)</w:t>
        </w:r>
      </w:hyperlink>
      <w:r>
        <w:rPr>
          <w:rFonts w:ascii="Times New Roman" w:hAnsi="Times New Roman"/>
          <w:b w:val="false"/>
          <w:i w:val="false"/>
          <w:color w:val="000000"/>
          <w:sz w:val="22"/>
        </w:rPr>
        <w:t xml:space="preserve">, agrees to complete the obligation, completes applications on or before the date established by the commission, and does not meet a condition in </w:t>
      </w:r>
      <w:hyperlink r:id="rId6">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 The obligation ends after five consecutive years. Progression towards completion of the obligation is verified annually. In addition, the eligible applicant will have graduated in the top 25 percent academically of students completing the teacher preparation program at the institution, as certified by the postsecondary institution offering the teacher preparation program from which the applicant graduates, and must be providing instruction in an eligible teaching field or in a combination of eligible teaching fields at an eligible school or agency and will be teaching on a full-time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school or agency” </w:t>
      </w:r>
      <w:r>
        <w:rPr>
          <w:rFonts w:ascii="Times New Roman" w:hAnsi="Times New Roman"/>
          <w:b w:val="false"/>
          <w:i w:val="false"/>
          <w:color w:val="000000"/>
          <w:sz w:val="22"/>
        </w:rPr>
        <w:t>means a public school district, area education agency, charter school, and accredited nonpublic school located in Iowa and recognized and approved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student loan”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256.218(4)</w:t>
        </w:r>
      </w:hyperlink>
      <w:r>
        <w:rPr>
          <w:rFonts w:ascii="Times New Roman" w:hAnsi="Times New Roman"/>
          <w:b w:val="false"/>
          <w:i w:val="false"/>
          <w:color w:val="000000"/>
          <w:sz w:val="22"/>
        </w:rPr>
        <w:t>. Only the outstanding portion of a federal consolidation loan that was used to repay an eligible student loan qualifies as an eligible student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teaching field” </w:t>
      </w:r>
      <w:r>
        <w:rPr>
          <w:rFonts w:ascii="Times New Roman" w:hAnsi="Times New Roman"/>
          <w:b w:val="false"/>
          <w:i w:val="false"/>
          <w:color w:val="000000"/>
          <w:sz w:val="22"/>
        </w:rPr>
        <w:t>means hard-to-staff subjects as identified by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program” </w:t>
      </w:r>
      <w:r>
        <w:rPr>
          <w:rFonts w:ascii="Times New Roman" w:hAnsi="Times New Roman"/>
          <w:b w:val="false"/>
          <w:i w:val="false"/>
          <w:color w:val="000000"/>
          <w:sz w:val="22"/>
        </w:rPr>
        <w:t>means the programs of practitioner preparation leading to initial licensure of teachers, administrators, and other professional school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an individual who holds a practitioner’s license or a statement of professional recognition issued under Iowa Code chapter </w:t>
      </w:r>
      <w:hyperlink r:id="rId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who is employed in a nonadministrative position by an eligible school or agency pursuant to a contract issued by a board of directors under Iowa Code section </w:t>
      </w:r>
      <w:hyperlink r:id="rId9">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“Teacher” also includes a preschool teacher who is licensed by the board of educational examiners under Iowa Code chapter </w:t>
      </w:r>
      <w:hyperlink r:id="rId1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is employed by an eligible school or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283—28.2</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Eligible applicants may receive up to $4,000 per year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New awards will be made in the order of the following priority categories if funding is insufficient to award all eligible applicants. An eligible applicant selected for an award under a priority category will continue to meet the provisions of that category to maintain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Iowa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all eligible applicants in this category cannot be funded, awards will be made first based on the eligible applicant’s graduation date from the teacher preparation program, grouped by academic year, with the most recent academic year graduates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all eligible applicants who graduated within an academic year cannot be funded, awards will be further prioritized based on the annual ranking of eligible teaching fields by the department, with eligible applicants teaching in the highest ranking fields being served first. Eligible applicants who meet the same priority criteria in this category will be further prioritized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not Iowa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all eligible applicants in this category cannot be funded, awards will be made first based on the eligible applicant’s graduation date from the teacher preparation program, grouped by academic year, with the most recent academic year graduates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all eligible applicants who graduated within an academic year cannot be funded, awards will be further prioritized based on the annual ranking of eligible teaching fields by the department, with eligible applicants teaching in the highest ranking fields being served first. Eligible applicants who meet the same priority criteria in this category will be further prioritized by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the application process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will specify whether the award should be paid directly to the eligible applicant or to the holder of the eligible applicant’s eligible student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notify all applicants of their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will track eligible applicants selected to receive awards through completion of their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will pay the award directly to the eligible applicant or to the holder of the eligible applicant’s eligible student loan after the eligible school or agency verifies that a portion of the obligation has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283—28.3</w:t>
      </w:r>
      <w:r>
        <w:rPr>
          <w:rFonts w:ascii="Times New Roman" w:hAnsi="Times New Roman"/>
          <w:b/>
          <w:i w:val="false"/>
          <w:color w:val="000000"/>
          <w:sz w:val="22"/>
        </w:rPr>
        <w:t xml:space="preserve">(256) </w:t>
      </w:r>
      <w:r>
        <w:rPr>
          <w:rFonts w:ascii="Times New Roman" w:hAnsi="Times New Roman"/>
          <w:b/>
          <w:i w:val="false"/>
          <w:color w:val="000000"/>
          <w:sz w:val="22"/>
        </w:rPr>
        <w:t xml:space="preserve">Grandfather clause. </w:t>
      </w:r>
      <w:r>
        <w:rPr>
          <w:rFonts w:ascii="Times New Roman" w:hAnsi="Times New Roman"/>
          <w:b w:val="false"/>
          <w:i w:val="false"/>
          <w:color w:val="000000"/>
          <w:sz w:val="22"/>
        </w:rPr>
        <w:t>The eligibility of eligible applicants who are selected to receive awards will not be impacted in subsequent years if the eligible teaching field under which they were selected to receive the award is no longer identified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1572C</w:t>
      </w:r>
      <w:r>
        <w:rPr>
          <w:rFonts w:ascii="Times New Roman" w:hAnsi="Times New Roman"/>
          <w:b w:val="false"/>
          <w:i w:val="false"/>
          <w:color w:val="000000"/>
          <w:sz w:val="21"/>
        </w:rPr>
        <w:t xml:space="preserve"> (Notice ARC 1419C, IAB 4/16/14)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2209C</w:t>
      </w:r>
      <w:r>
        <w:rPr>
          <w:rFonts w:ascii="Times New Roman" w:hAnsi="Times New Roman"/>
          <w:b w:val="false"/>
          <w:i w:val="false"/>
          <w:color w:val="000000"/>
          <w:sz w:val="21"/>
        </w:rPr>
        <w:t xml:space="preserve"> (Notice ARC 2110C, IAB 8/19/15)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9586C</w:t>
      </w:r>
      <w:r>
        <w:rPr>
          <w:rFonts w:ascii="Times New Roman" w:hAnsi="Times New Roman"/>
          <w:b w:val="false"/>
          <w:i w:val="false"/>
          <w:color w:val="000000"/>
          <w:sz w:val="21"/>
        </w:rPr>
        <w:t xml:space="preserve"> (Notice ARC 9390C, IAB 7/9/25)</w:t>
      </w:r>
      <w:r>
        <w:rPr>
          <w:rFonts w:ascii="Times New Roman" w:hAnsi="Times New Roman"/>
          <w:b w:val="false"/>
          <w:i w:val="false"/>
          <w:color w:val="000000"/>
          <w:sz w:val="21"/>
        </w:rPr>
        <w:t>, IAB 10/1/25, effective 11/5/25]</w:t>
      </w:r>
    </w:p>
    <w:sectPr>
      <w:footerReference r:id="rId1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218.pdf" Type="http://schemas.openxmlformats.org/officeDocument/2006/relationships/hyperlink" Id="rId5"/>
    <Relationship TargetMode="External" Target="https://www.legis.iowa.gov/docs/iac/rule/283.10.3.pdf" Type="http://schemas.openxmlformats.org/officeDocument/2006/relationships/hyperlink" Id="rId6"/>
    <Relationship TargetMode="External" Target="https://www.legis.iowa.gov/docs/ico/chapter/256.218.pdf" Type="http://schemas.openxmlformats.org/officeDocument/2006/relationships/hyperlink" Id="rId7"/>
    <Relationship TargetMode="External" Target="https://www.legis.iowa.gov/docs/ico/chapter/256.pdf" Type="http://schemas.openxmlformats.org/officeDocument/2006/relationships/hyperlink" Id="rId8"/>
    <Relationship TargetMode="External" Target="https://www.legis.iowa.gov/docs/ico/chapter/279.13.pdf" Type="http://schemas.openxmlformats.org/officeDocument/2006/relationships/hyperlink" Id="rId9"/>
    <Relationship TargetMode="External" Target="https://www.legis.iowa.gov/docs/ico/chapter/256.pdf" Type="http://schemas.openxmlformats.org/officeDocument/2006/relationships/hyperlink" Id="rId10"/>
    <Relationship TargetMode="External" Target="https://www.legis.iowa.gov/docs/ico/chapter/256.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