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SKILLED WORKFORCE SHORTAGE TUITION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9/11/29</w:t>
      </w:r>
    </w:p>
    <w:p>
      <w:pPr>
        <w:spacing w:before="0" w:after="0"/>
        <w:ind w:left="120"/>
        <w:jc w:val="both"/>
      </w:pPr>
      <w:r>
        <w:rPr>
          <w:rFonts w:ascii="Times New Roman" w:hAnsi="Times New Roman"/>
          <w:b/>
          <w:i w:val="false"/>
          <w:color w:val="000000"/>
          <w:sz w:val="22"/>
        </w:rPr>
        <w:t>283—23.1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Iowa skilled workforce shortage tuition grant program is tuition-restricted and is also based on the financial metric and financial need of Iowa residents enrolled in eligible programs of study at Iowa community colleges.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 xml:space="preserve">(256).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 xml:space="preserve">An eligible applicant is an Iowa resident who is enrolled at least part-time in a program of study that is classified as a career and technical education program by the Iowa department of education and aligns with a high-demand job identified by the department of workforce development or an Iowa community college as specified in rule </w:t>
      </w:r>
      <w:hyperlink r:id="rId12">
        <w:r>
          <w:rPr>
            <w:rStyle w:val="Hyperlink"/>
            <w:rFonts w:ascii="Times New Roman" w:hAnsi="Times New Roman"/>
            <w:b w:val="false"/>
            <w:i w:val="false"/>
            <w:color w:val="000000"/>
            <w:sz w:val="22"/>
          </w:rPr>
          <w:t>283—23.5(256)</w:t>
        </w:r>
      </w:hyperlink>
      <w:r>
        <w:rPr>
          <w:rFonts w:ascii="Times New Roman" w:hAnsi="Times New Roman"/>
          <w:b w:val="false"/>
          <w:i w:val="false"/>
          <w:color w:val="000000"/>
          <w:sz w:val="22"/>
        </w:rPr>
        <w:t>; meets the award eligibility criteria; and meets the following provisions: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Completes the applications the commission deems necessary on or before the date established by the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3">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 xml:space="preserve">Eligible applicants may receive no more than the equivalent of four full-time awards. If the program of study cannot be completed by the eligible applicant within the extent of the award, the eligible applicant can qualify for the equivalent of one additional full-time award. These limits reset after two years of no postsecondary enrollment, pursuant to Iowa Code section </w:t>
      </w:r>
      <w:hyperlink r:id="rId14">
        <w:r>
          <w:rPr>
            <w:rStyle w:val="Hyperlink"/>
            <w:rFonts w:ascii="Times New Roman" w:hAnsi="Times New Roman"/>
            <w:b w:val="false"/>
            <w:i w:val="false"/>
            <w:color w:val="000000"/>
            <w:sz w:val="22"/>
          </w:rPr>
          <w:t>256.227(5)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award for full-time students will not exceed the student’s financial need and will not exceed one-half of the average community college tuition and fee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award is calculated in conjunction with the federal Pell Grant and the Iowa vocational-technical tuition grant, with the goal of providing awards to as many eligible applicants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awarded in combination with other tuition-restricted funds, the total amount of tuition-restricted funding including a skilled workforce shortage tuition grant cannot exceed the total tuition and mandatory fees charged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part-time student will receive a prorated award, as defined by the commission, which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Iowa community colleges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Iowa community colleges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 will apply awards directly to student accounts to cover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 will provide information about eligible applicants to the commission in a format specified by the commission. Iowa community colleges will make necessary changes to awards due to a change in enrollment, program of study, and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Iowa community colleges are responsible for completing necessary verification and for coordinating other aid to ensure compliance with student eligibility requirements and allowable award amounts. Iowa community colleges will report changes in student eligibility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periodically investigate and review compliance of Iowa community colleges participating in this program with the criteria established in Iowa Code section </w:t>
      </w:r>
      <w:hyperlink r:id="rId15">
        <w:r>
          <w:rPr>
            <w:rStyle w:val="Hyperlink"/>
            <w:rFonts w:ascii="Times New Roman" w:hAnsi="Times New Roman"/>
            <w:b w:val="false"/>
            <w:i w:val="false"/>
            <w:color w:val="000000"/>
            <w:sz w:val="22"/>
          </w:rPr>
          <w:t>256.227</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283—23.5</w:t>
      </w:r>
      <w:r>
        <w:rPr>
          <w:rFonts w:ascii="Times New Roman" w:hAnsi="Times New Roman"/>
          <w:b/>
          <w:i w:val="false"/>
          <w:color w:val="000000"/>
          <w:sz w:val="22"/>
        </w:rPr>
        <w:t xml:space="preserve">(256) </w:t>
      </w:r>
      <w:r>
        <w:rPr>
          <w:rFonts w:ascii="Times New Roman" w:hAnsi="Times New Roman"/>
          <w:b/>
          <w:i w:val="false"/>
          <w:color w:val="000000"/>
          <w:sz w:val="22"/>
        </w:rPr>
        <w:t xml:space="preserve">Determination of programs of study aligned with high-demand jobs.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color w:val="000000"/>
          <w:sz w:val="22"/>
        </w:rPr>
        <w:t xml:space="preserve">Statewide high-demand jobs. </w:t>
      </w:r>
      <w:r>
        <w:rPr>
          <w:rFonts w:ascii="Times New Roman" w:hAnsi="Times New Roman"/>
          <w:b w:val="false"/>
          <w:i w:val="false"/>
          <w:color w:val="000000"/>
          <w:sz w:val="22"/>
        </w:rPr>
        <w:t xml:space="preserve">The commission will utilize the department of workforce development’s most recent list of statewide high-demand jobs pursuant to Iowa Code section </w:t>
      </w:r>
      <w:hyperlink r:id="rId16">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xml:space="preserve"> and align those jobs to eligible programs of study. Programs aligned with new statewide high-demand jobs will be added to the list of eligible programs to the extent that funding allows. After consideration of additional programs under </w:t>
      </w:r>
      <w:hyperlink r:id="rId17">
        <w:r>
          <w:rPr>
            <w:rStyle w:val="Hyperlink"/>
            <w:rFonts w:ascii="Times New Roman" w:hAnsi="Times New Roman"/>
            <w:b w:val="false"/>
            <w:i w:val="false"/>
            <w:color w:val="000000"/>
            <w:sz w:val="22"/>
          </w:rPr>
          <w:t>subrule 23.5(2)</w:t>
        </w:r>
      </w:hyperlink>
      <w:r>
        <w:rPr>
          <w:rFonts w:ascii="Times New Roman" w:hAnsi="Times New Roman"/>
          <w:b w:val="false"/>
          <w:i w:val="false"/>
          <w:color w:val="000000"/>
          <w:sz w:val="22"/>
        </w:rPr>
        <w:t xml:space="preserve">, and to the extent that funding allows, the commission will utilize the department of workforce development’s most recent list of high-demand occupations that meet the growth thresholds in Iowa Code section </w:t>
      </w:r>
      <w:hyperlink r:id="rId18">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 xml:space="preserve"> but do not meet the wage threshold and will align those jobs to eligible programs of study.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color w:val="000000"/>
          <w:sz w:val="22"/>
        </w:rPr>
        <w:t xml:space="preserve">Regional high-demand jobs. </w:t>
      </w:r>
      <w:r>
        <w:rPr>
          <w:rFonts w:ascii="Times New Roman" w:hAnsi="Times New Roman"/>
          <w:b w:val="false"/>
          <w:i w:val="false"/>
          <w:color w:val="000000"/>
          <w:sz w:val="22"/>
        </w:rPr>
        <w:t>The commission will request submissions of regional high-demand jobs that align with eligible programs of study if funding allows. The Iowa community college must conduct a regional skills gap analysis and provide the corresponding documentation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color w:val="000000"/>
          <w:sz w:val="22"/>
        </w:rPr>
        <w:t xml:space="preserve">Eligible programs of study. </w:t>
      </w:r>
      <w:r>
        <w:rPr>
          <w:rFonts w:ascii="Times New Roman" w:hAnsi="Times New Roman"/>
          <w:b w:val="false"/>
          <w:i w:val="false"/>
          <w:color w:val="000000"/>
          <w:sz w:val="22"/>
        </w:rPr>
        <w:t xml:space="preserve">All programs of study that are identified as career and technical education programs by the Iowa department of education will be considered. The classification of instructional program code and the standard occupation code will be used to align eligible programs of study to high-demand jobs.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If a high-demand job is removed from eligibility, students who received an award based on their enrollment in a program of study aligned with the removed high-demand job in the previous year can continue to qualify for the award if they remain enrolled in the same program of study and continuously enroll each consecutive fall and spring semester, or the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0397C</w:t>
      </w:r>
      <w:r>
        <w:rPr>
          <w:rFonts w:ascii="Times New Roman" w:hAnsi="Times New Roman"/>
          <w:b w:val="false"/>
          <w:i w:val="false"/>
          <w:color w:val="000000"/>
          <w:sz w:val="21"/>
        </w:rPr>
        <w:t xml:space="preserve"> (Notice ARC 0248C,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1871C</w:t>
      </w:r>
      <w:r>
        <w:rPr>
          <w:rFonts w:ascii="Times New Roman" w:hAnsi="Times New Roman"/>
          <w:b w:val="false"/>
          <w:i w:val="false"/>
          <w:color w:val="000000"/>
          <w:sz w:val="21"/>
        </w:rPr>
        <w:t xml:space="preserve"> (Notice ARC 1688C, IAB 10/29/14)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4718C</w:t>
      </w:r>
      <w:r>
        <w:rPr>
          <w:rFonts w:ascii="Times New Roman" w:hAnsi="Times New Roman"/>
          <w:b w:val="false"/>
          <w:i w:val="false"/>
          <w:color w:val="000000"/>
          <w:sz w:val="21"/>
        </w:rPr>
        <w:t xml:space="preserve"> (Notice ARC 4594C,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8174C</w:t>
      </w:r>
      <w:r>
        <w:rPr>
          <w:rFonts w:ascii="Times New Roman" w:hAnsi="Times New Roman"/>
          <w:b w:val="false"/>
          <w:i w:val="false"/>
          <w:color w:val="000000"/>
          <w:sz w:val="21"/>
        </w:rPr>
        <w:t xml:space="preserve"> (Notice ARC 7854C, IAB 4/17/24)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3.10.2.pdf" Type="http://schemas.openxmlformats.org/officeDocument/2006/relationships/hyperlink" Id="rId5"/>
    <Relationship TargetMode="External" Target="https://www.legis.iowa.gov/docs/iac/rule/283.10.2.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ac/rule/283.23.5.pdf" Type="http://schemas.openxmlformats.org/officeDocument/2006/relationships/hyperlink" Id="rId12"/>
    <Relationship TargetMode="External" Target="https://www.legis.iowa.gov/docs/iac/rule/283.10.3.pdf" Type="http://schemas.openxmlformats.org/officeDocument/2006/relationships/hyperlink" Id="rId13"/>
    <Relationship TargetMode="External" Target="https://www.legis.iowa.gov/docs/ico/chapter/256.227.pdf" Type="http://schemas.openxmlformats.org/officeDocument/2006/relationships/hyperlink" Id="rId14"/>
    <Relationship TargetMode="External" Target="https://www.legis.iowa.gov/docs/ico/chapter/256.227.pdf" Type="http://schemas.openxmlformats.org/officeDocument/2006/relationships/hyperlink" Id="rId15"/>
    <Relationship TargetMode="External" Target="https://www.legis.iowa.gov/docs/ico/chapter/84A.1B.pdf" Type="http://schemas.openxmlformats.org/officeDocument/2006/relationships/hyperlink" Id="rId16"/>
    <Relationship TargetMode="External" Target="https://www.legis.iowa.gov/docs/iac/rule/283.23.5.pdf" Type="http://schemas.openxmlformats.org/officeDocument/2006/relationships/hyperlink" Id="rId17"/>
    <Relationship TargetMode="External" Target="https://www.legis.iowa.gov/docs/ico/chapter/84A.1B.pdf" Type="http://schemas.openxmlformats.org/officeDocument/2006/relationships/hyperlink" Id="rId18"/>
    <Relationship TargetMode="External" Target="https://www.legis.iowa.gov/docs/ico/chapter/256.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