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IOWA NATIONAL GUARD BENEFITS PROGRAMS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283—20.1</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program” </w:t>
      </w:r>
      <w:r>
        <w:rPr>
          <w:rFonts w:ascii="Times New Roman" w:hAnsi="Times New Roman"/>
          <w:b w:val="false"/>
          <w:i w:val="false"/>
          <w:color w:val="000000"/>
          <w:sz w:val="22"/>
        </w:rPr>
        <w:t xml:space="preserve">means a program of study that is approved by the adjutant general and leads to a credential as described in Iowa Code section </w:t>
      </w:r>
      <w:hyperlink r:id="rId5">
        <w:r>
          <w:rPr>
            <w:rStyle w:val="Hyperlink"/>
            <w:rFonts w:ascii="Times New Roman" w:hAnsi="Times New Roman"/>
            <w:b w:val="false"/>
            <w:i w:val="false"/>
            <w:color w:val="000000"/>
            <w:sz w:val="22"/>
          </w:rPr>
          <w:t>256.210A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institution” </w:t>
      </w:r>
      <w:r>
        <w:rPr>
          <w:rFonts w:ascii="Times New Roman" w:hAnsi="Times New Roman"/>
          <w:b w:val="false"/>
          <w:i w:val="false"/>
          <w:color w:val="000000"/>
          <w:sz w:val="22"/>
        </w:rPr>
        <w:t xml:space="preserve">means the same as described in Iowa Code section </w:t>
      </w:r>
      <w:hyperlink r:id="rId6">
        <w:r>
          <w:rPr>
            <w:rStyle w:val="Hyperlink"/>
            <w:rFonts w:ascii="Times New Roman" w:hAnsi="Times New Roman"/>
            <w:b w:val="false"/>
            <w:i w:val="false"/>
            <w:color w:val="000000"/>
            <w:sz w:val="22"/>
          </w:rPr>
          <w:t>256.210(1)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master’s degree program of study” </w:t>
      </w:r>
      <w:r>
        <w:rPr>
          <w:rFonts w:ascii="Times New Roman" w:hAnsi="Times New Roman"/>
          <w:b w:val="false"/>
          <w:i w:val="false"/>
          <w:color w:val="000000"/>
          <w:sz w:val="22"/>
        </w:rPr>
        <w:t xml:space="preserve">means a master’s degree program in science, technology, engineering, and mathematics-related military occupational specialties or air force specialty codes pursuant to Iowa Code section </w:t>
      </w:r>
      <w:hyperlink r:id="rId7">
        <w:r>
          <w:rPr>
            <w:rStyle w:val="Hyperlink"/>
            <w:rFonts w:ascii="Times New Roman" w:hAnsi="Times New Roman"/>
            <w:b w:val="false"/>
            <w:i w:val="false"/>
            <w:color w:val="000000"/>
            <w:sz w:val="22"/>
          </w:rPr>
          <w:t>256.211(1)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active duty” </w:t>
      </w:r>
      <w:r>
        <w:rPr>
          <w:rFonts w:ascii="Times New Roman" w:hAnsi="Times New Roman"/>
          <w:b w:val="false"/>
          <w:i w:val="false"/>
          <w:color w:val="000000"/>
          <w:sz w:val="22"/>
        </w:rPr>
        <w:t>means military duty performed pursuant to orders issued under Title 10, United States Code (as of July 1, 2024), other than for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 xml:space="preserve">means the same as defined in rule </w:t>
      </w:r>
      <w:hyperlink r:id="rId8">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“Part-time” </w:t>
      </w:r>
      <w:r>
        <w:rPr>
          <w:rFonts w:ascii="Times New Roman" w:hAnsi="Times New Roman"/>
          <w:b w:val="false"/>
          <w:i w:val="false"/>
          <w:color w:val="000000"/>
          <w:sz w:val="22"/>
        </w:rPr>
        <w:t xml:space="preserve">means the same as defined in rule </w:t>
      </w:r>
      <w:hyperlink r:id="rId9">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of study” </w:t>
      </w:r>
      <w:r>
        <w:rPr>
          <w:rFonts w:ascii="Times New Roman" w:hAnsi="Times New Roman"/>
          <w:b w:val="false"/>
          <w:i w:val="false"/>
          <w:color w:val="000000"/>
          <w:sz w:val="22"/>
        </w:rPr>
        <w:t xml:space="preserve">means the same as defined in rule </w:t>
      </w:r>
      <w:hyperlink r:id="rId10">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“Satisfactory academic progress” </w:t>
      </w:r>
      <w:r>
        <w:rPr>
          <w:rFonts w:ascii="Times New Roman" w:hAnsi="Times New Roman"/>
          <w:b w:val="false"/>
          <w:i w:val="false"/>
          <w:color w:val="000000"/>
          <w:sz w:val="22"/>
        </w:rPr>
        <w:t xml:space="preserve">means the same as defined in rule </w:t>
      </w:r>
      <w:hyperlink r:id="rId11">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9585C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 xml:space="preserve">; </w:t>
      </w:r>
      <w:r>
        <w:rPr>
          <w:rFonts w:ascii="Times New Roman" w:hAnsi="Times New Roman"/>
          <w:b/>
          <w:i w:val="false"/>
          <w:color w:val="000000"/>
          <w:sz w:val="16"/>
        </w:rPr>
        <w:t>ARC 0051D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283—20.2</w:t>
      </w:r>
      <w:r>
        <w:rPr>
          <w:rFonts w:ascii="Times New Roman" w:hAnsi="Times New Roman"/>
          <w:b/>
          <w:i w:val="false"/>
          <w:color w:val="000000"/>
          <w:sz w:val="22"/>
        </w:rPr>
        <w:t xml:space="preserve">(256) </w:t>
      </w:r>
      <w:r>
        <w:rPr>
          <w:rFonts w:ascii="Times New Roman" w:hAnsi="Times New Roman"/>
          <w:b/>
          <w:i w:val="false"/>
          <w:color w:val="000000"/>
          <w:sz w:val="22"/>
        </w:rPr>
        <w:t xml:space="preserve">Iowa national guard service scholarship.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w:t>
      </w:r>
      <w:r>
        <w:rPr>
          <w:rFonts w:ascii="Times New Roman" w:hAnsi="Times New Roman"/>
          <w:b w:val="false"/>
          <w:i w:val="false"/>
          <w:color w:val="000000"/>
          <w:sz w:val="22"/>
        </w:rPr>
        <w:t> </w:t>
      </w:r>
      <w:r>
        <w:rPr>
          <w:rFonts w:ascii="Times New Roman" w:hAnsi="Times New Roman"/>
          <w:b w:val="false"/>
          <w:i/>
          <w:color w:val="000000"/>
          <w:sz w:val="22"/>
        </w:rPr>
        <w:t xml:space="preserve">Eligible applicant. </w:t>
      </w:r>
      <w:r>
        <w:rPr>
          <w:rFonts w:ascii="Times New Roman" w:hAnsi="Times New Roman"/>
          <w:b w:val="false"/>
          <w:i w:val="false"/>
          <w:color w:val="000000"/>
          <w:sz w:val="22"/>
        </w:rPr>
        <w:t>An eligible applicant is an Iowa resident, as determined by the adjutant general, who enrolls full-time or part-time in a program of study at an eligible institution and who meets the award eligibility criteria approved by the adjutant general and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Completes the applications the Iowa national guard deems necessary on or before the date established by the Iowa national guard, except that an individual who was on federal active duty at the time of an application deadline will have 30 days to apply upon return to Iowa from active duty.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eligibility criteria in Iowa Code section </w:t>
      </w:r>
      <w:hyperlink r:id="rId12">
        <w:r>
          <w:rPr>
            <w:rStyle w:val="Hyperlink"/>
            <w:rFonts w:ascii="Times New Roman" w:hAnsi="Times New Roman"/>
            <w:b w:val="false"/>
            <w:i w:val="false"/>
            <w:color w:val="000000"/>
            <w:sz w:val="22"/>
          </w:rPr>
          <w:t>256.210</w:t>
        </w:r>
      </w:hyperlink>
      <w:r>
        <w:rPr>
          <w:rFonts w:ascii="Times New Roman" w:hAnsi="Times New Roman"/>
          <w:b w:val="false"/>
          <w:i w:val="false"/>
          <w:color w:val="000000"/>
          <w:sz w:val="22"/>
        </w:rPr>
        <w:t xml:space="preserve">, meets satisfactory academic progress standards, and does not meet a condition in </w:t>
      </w:r>
      <w:hyperlink r:id="rId13">
        <w:r>
          <w:rPr>
            <w:rStyle w:val="Hyperlink"/>
            <w:rFonts w:ascii="Times New Roman" w:hAnsi="Times New Roman"/>
            <w:b w:val="false"/>
            <w:i w:val="false"/>
            <w:color w:val="000000"/>
            <w:sz w:val="22"/>
          </w:rPr>
          <w:t>283—subrule 10.3(1)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w:t>
      </w:r>
      <w:r>
        <w:rPr>
          <w:rFonts w:ascii="Times New Roman" w:hAnsi="Times New Roman"/>
          <w:b w:val="false"/>
          <w:i w:val="false"/>
          <w:color w:val="000000"/>
          <w:sz w:val="22"/>
        </w:rPr>
        <w:t> </w:t>
      </w:r>
      <w:r>
        <w:rPr>
          <w:rFonts w:ascii="Times New Roman" w:hAnsi="Times New Roman"/>
          <w:b w:val="false"/>
          <w:i/>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All eligible applicants will be considered for an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Maximum award and extent of award. </w:t>
      </w:r>
      <w:r>
        <w:rPr>
          <w:rFonts w:ascii="Times New Roman" w:hAnsi="Times New Roman"/>
          <w:b w:val="false"/>
          <w:i w:val="false"/>
          <w:color w:val="000000"/>
          <w:sz w:val="22"/>
        </w:rPr>
        <w:t xml:space="preserve">Eligible applicants may receive awards for no more than 120 semester credit hours attributable to the program of study unless the applicants meet the provisions of Iowa Code section </w:t>
      </w:r>
      <w:hyperlink r:id="rId14">
        <w:r>
          <w:rPr>
            <w:rStyle w:val="Hyperlink"/>
            <w:rFonts w:ascii="Times New Roman" w:hAnsi="Times New Roman"/>
            <w:b w:val="false"/>
            <w:i w:val="false"/>
            <w:color w:val="000000"/>
            <w:sz w:val="22"/>
          </w:rPr>
          <w:t>256.210(3)</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maximum award for full-time students will not exceed the undergraduate Iowa resident tuition rate at Iowa regent universities or the tuition charged to the eligible applicant, whichever is lower.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credit hours within a term of enrollment to which a scholarship is applied will be reported to the commission within the state-defined payment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Awarding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Iowa national guard will verify the eligibility of eligible applicants. An eligibility decision by the adjutant general is final.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will designate eligible applicants for awards and provide eligible institutions with rosters of designated eligible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will notify recipients and eligible institutions of the awards. Eligible institutions will notify the student of the award amount, of the state program from which funding is being provided and that the award is contingent on the availability of state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institutions will apply awards to cover expenses identified in Iowa Code section </w:t>
      </w:r>
      <w:hyperlink r:id="rId15">
        <w:r>
          <w:rPr>
            <w:rStyle w:val="Hyperlink"/>
            <w:rFonts w:ascii="Times New Roman" w:hAnsi="Times New Roman"/>
            <w:b w:val="false"/>
            <w:i w:val="false"/>
            <w:color w:val="000000"/>
            <w:sz w:val="22"/>
          </w:rPr>
          <w:t>256.210(5)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Eligible institutions will provide information about eligible applicants to the commission in a format specified by the commission. Eligible institutions will make necessary changes to awards due to a change in enrollment or financial situation and promptly report those changes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Eligible institutions are responsible for completing necessary verification and for coordinating other aid to ensure compliance with student eligibility requirements and allowable award amounts. Eligible institutions will report changes in student eligibility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will periodically investigate and review compliance of eligible institutions participating in this program with the criteria established in Iowa Code section </w:t>
      </w:r>
      <w:hyperlink r:id="rId16">
        <w:r>
          <w:rPr>
            <w:rStyle w:val="Hyperlink"/>
            <w:rFonts w:ascii="Times New Roman" w:hAnsi="Times New Roman"/>
            <w:b w:val="false"/>
            <w:i w:val="false"/>
            <w:color w:val="000000"/>
            <w:sz w:val="22"/>
          </w:rPr>
          <w:t>256.210</w:t>
        </w:r>
      </w:hyperlink>
      <w:r>
        <w:rPr>
          <w:rFonts w:ascii="Times New Roman" w:hAnsi="Times New Roman"/>
          <w:b w:val="false"/>
          <w:i w:val="false"/>
          <w:color w:val="000000"/>
          <w:sz w:val="22"/>
        </w:rPr>
        <w:t xml:space="preserve"> and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9585C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283—20.3</w:t>
      </w:r>
      <w:r>
        <w:rPr>
          <w:rFonts w:ascii="Times New Roman" w:hAnsi="Times New Roman"/>
          <w:b/>
          <w:i w:val="false"/>
          <w:color w:val="000000"/>
          <w:sz w:val="22"/>
        </w:rPr>
        <w:t xml:space="preserve">(256) </w:t>
      </w:r>
      <w:r>
        <w:rPr>
          <w:rFonts w:ascii="Times New Roman" w:hAnsi="Times New Roman"/>
          <w:b/>
          <w:i w:val="false"/>
          <w:color w:val="000000"/>
          <w:sz w:val="22"/>
        </w:rPr>
        <w:t xml:space="preserve">Iowa national guard master’s degree service scholarship. </w:t>
      </w:r>
      <w:r>
        <w:rPr>
          <w:rFonts w:ascii="Times New Roman" w:hAnsi="Times New Roman"/>
          <w:b w:val="false"/>
          <w:i w:val="false"/>
          <w:color w:val="000000"/>
          <w:sz w:val="22"/>
        </w:rPr>
        <w:t xml:space="preserve">In the event that the adjutant general authorizes the expenditure of unencumbered or unobligated funds from Iowa Code section </w:t>
      </w:r>
      <w:hyperlink r:id="rId17">
        <w:r>
          <w:rPr>
            <w:rStyle w:val="Hyperlink"/>
            <w:rFonts w:ascii="Times New Roman" w:hAnsi="Times New Roman"/>
            <w:b w:val="false"/>
            <w:i w:val="false"/>
            <w:color w:val="000000"/>
            <w:sz w:val="22"/>
          </w:rPr>
          <w:t>256.210(6)</w:t>
        </w:r>
      </w:hyperlink>
      <w:r>
        <w:rPr>
          <w:rFonts w:ascii="Times New Roman" w:hAnsi="Times New Roman"/>
          <w:b w:val="false"/>
          <w:i w:val="false"/>
          <w:color w:val="000000"/>
          <w:sz w:val="22"/>
        </w:rPr>
        <w:t xml:space="preserve"> for the recruitment or retention of individuals by providing a scholarship award to an eligible member of the Iowa national guard, this chapter will be used to administer authorized scholarships. The adjutant general will select program recipients and authorize scholarship awards under this chapter. The decision of the adjutant general is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w:t>
      </w:r>
      <w:r>
        <w:rPr>
          <w:rFonts w:ascii="Times New Roman" w:hAnsi="Times New Roman"/>
          <w:b w:val="false"/>
          <w:i w:val="false"/>
          <w:color w:val="000000"/>
          <w:sz w:val="22"/>
        </w:rPr>
        <w:t> </w:t>
      </w:r>
      <w:r>
        <w:rPr>
          <w:rFonts w:ascii="Times New Roman" w:hAnsi="Times New Roman"/>
          <w:b w:val="false"/>
          <w:i/>
          <w:color w:val="000000"/>
          <w:sz w:val="22"/>
        </w:rPr>
        <w:t xml:space="preserve">Eligible applicant. </w:t>
      </w:r>
      <w:r>
        <w:rPr>
          <w:rFonts w:ascii="Times New Roman" w:hAnsi="Times New Roman"/>
          <w:b w:val="false"/>
          <w:i w:val="false"/>
          <w:color w:val="000000"/>
          <w:sz w:val="22"/>
        </w:rPr>
        <w:t>An eligible applicant is an Iowa resident, as determined by the adjutant general, who enrolls in an eligible master’s degree program of study at an eligible institution and who meets the award eligibility criteria approved by the adjutant general and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Completes the applications the Iowa national guard deems necessary on or before the date established by the Iowa national guard, except that an individual who was on federal active duty at the time of an application deadline will have 30 days to apply upon return to Iowa from active duty.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eligibility criteria in Iowa Code section </w:t>
      </w:r>
      <w:hyperlink r:id="rId18">
        <w:r>
          <w:rPr>
            <w:rStyle w:val="Hyperlink"/>
            <w:rFonts w:ascii="Times New Roman" w:hAnsi="Times New Roman"/>
            <w:b w:val="false"/>
            <w:i w:val="false"/>
            <w:color w:val="000000"/>
            <w:sz w:val="22"/>
          </w:rPr>
          <w:t>256.211(1)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256.211(3)</w:t>
        </w:r>
      </w:hyperlink>
      <w:r>
        <w:rPr>
          <w:rFonts w:ascii="Times New Roman" w:hAnsi="Times New Roman"/>
          <w:b w:val="false"/>
          <w:i w:val="false"/>
          <w:color w:val="000000"/>
          <w:sz w:val="22"/>
        </w:rPr>
        <w:t xml:space="preserve">, meets satisfactory academic progress standards, and does not meet a condition in </w:t>
      </w:r>
      <w:hyperlink r:id="rId20">
        <w:r>
          <w:rPr>
            <w:rStyle w:val="Hyperlink"/>
            <w:rFonts w:ascii="Times New Roman" w:hAnsi="Times New Roman"/>
            <w:b w:val="false"/>
            <w:i w:val="false"/>
            <w:color w:val="000000"/>
            <w:sz w:val="22"/>
          </w:rPr>
          <w:t>283—subrule 10.3(1)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w:t>
      </w:r>
      <w:r>
        <w:rPr>
          <w:rFonts w:ascii="Times New Roman" w:hAnsi="Times New Roman"/>
          <w:b w:val="false"/>
          <w:i w:val="false"/>
          <w:color w:val="000000"/>
          <w:sz w:val="22"/>
        </w:rPr>
        <w:t> </w:t>
      </w:r>
      <w:r>
        <w:rPr>
          <w:rFonts w:ascii="Times New Roman" w:hAnsi="Times New Roman"/>
          <w:b w:val="false"/>
          <w:i/>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All eligible applicants will be considered for an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Maximum award and extent of award. </w:t>
      </w:r>
      <w:r>
        <w:rPr>
          <w:rFonts w:ascii="Times New Roman" w:hAnsi="Times New Roman"/>
          <w:b w:val="false"/>
          <w:i w:val="false"/>
          <w:color w:val="000000"/>
          <w:sz w:val="22"/>
        </w:rPr>
        <w:t>Eligible applicants may receive awards for no more than 36 semester credit hours, or the equivalent, attributable to the eligible master’s degree program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maximum award will not exceed the Iowa resident graduate-level tuition rate at Iowa regent universities or the tuition charged to the eligible applicant, whichever is lower.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credit hours within a term of enrollment to which a scholarship is applied will be reported to the commission within the state-defined payment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Awarding process. </w:t>
      </w:r>
      <w:r>
        <w:rPr>
          <w:rFonts w:ascii="Times New Roman" w:hAnsi="Times New Roman"/>
          <w:b w:val="false"/>
          <w:i w:val="false"/>
          <w:color w:val="000000"/>
          <w:sz w:val="22"/>
        </w:rPr>
        <w:t xml:space="preserve">The college student aid commission adopts the awarding process in paragraph </w:t>
      </w:r>
      <w:hyperlink r:id="rId21">
        <w:r>
          <w:rPr>
            <w:rStyle w:val="Hyperlink"/>
            <w:rFonts w:ascii="Times New Roman" w:hAnsi="Times New Roman"/>
            <w:b w:val="false"/>
            <w:i w:val="false"/>
            <w:color w:val="000000"/>
            <w:sz w:val="22"/>
          </w:rPr>
          <w:t>20.2(2)</w:t>
        </w:r>
      </w:hyperlink>
      <w:r>
        <w:rPr>
          <w:rFonts w:ascii="Times New Roman" w:hAnsi="Times New Roman"/>
          <w:b w:val="false"/>
          <w:i/>
          <w:color w:val="000000"/>
          <w:sz w:val="22"/>
        </w:rPr>
        <w:t>“c”</w:t>
      </w:r>
      <w:r>
        <w:rPr>
          <w:rFonts w:ascii="Times New Roman" w:hAnsi="Times New Roman"/>
          <w:b w:val="false"/>
          <w:i w:val="false"/>
          <w:color w:val="000000"/>
          <w:sz w:val="22"/>
        </w:rPr>
        <w:t xml:space="preserve"> with the following exception: In lieu of “Iowa Code section </w:t>
      </w:r>
      <w:hyperlink r:id="rId22">
        <w:r>
          <w:rPr>
            <w:rStyle w:val="Hyperlink"/>
            <w:rFonts w:ascii="Times New Roman" w:hAnsi="Times New Roman"/>
            <w:b w:val="false"/>
            <w:i w:val="false"/>
            <w:color w:val="000000"/>
            <w:sz w:val="22"/>
          </w:rPr>
          <w:t>256.210</w:t>
        </w:r>
      </w:hyperlink>
      <w:r>
        <w:rPr>
          <w:rFonts w:ascii="Times New Roman" w:hAnsi="Times New Roman"/>
          <w:b w:val="false"/>
          <w:i w:val="false"/>
          <w:color w:val="000000"/>
          <w:sz w:val="22"/>
        </w:rPr>
        <w:t xml:space="preserve">” in subparagraph </w:t>
      </w:r>
      <w:hyperlink r:id="rId23">
        <w:r>
          <w:rPr>
            <w:rStyle w:val="Hyperlink"/>
            <w:rFonts w:ascii="Times New Roman" w:hAnsi="Times New Roman"/>
            <w:b w:val="false"/>
            <w:i w:val="false"/>
            <w:color w:val="000000"/>
            <w:sz w:val="22"/>
          </w:rPr>
          <w:t>20.2(2)</w:t>
        </w:r>
      </w:hyperlink>
      <w:r>
        <w:rPr>
          <w:rFonts w:ascii="Times New Roman" w:hAnsi="Times New Roman"/>
          <w:b w:val="false"/>
          <w:i/>
          <w:color w:val="000000"/>
          <w:sz w:val="22"/>
        </w:rPr>
        <w:t>“c”</w:t>
      </w:r>
      <w:r>
        <w:rPr>
          <w:rFonts w:ascii="Times New Roman" w:hAnsi="Times New Roman"/>
          <w:b w:val="false"/>
          <w:i w:val="false"/>
          <w:color w:val="000000"/>
          <w:sz w:val="22"/>
        </w:rPr>
        <w:t xml:space="preserve">(7), insert “Iowa Code section </w:t>
      </w:r>
      <w:hyperlink r:id="rId24">
        <w:r>
          <w:rPr>
            <w:rStyle w:val="Hyperlink"/>
            <w:rFonts w:ascii="Times New Roman" w:hAnsi="Times New Roman"/>
            <w:b w:val="false"/>
            <w:i w:val="false"/>
            <w:color w:val="000000"/>
            <w:sz w:val="22"/>
          </w:rPr>
          <w:t>256.211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9585C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283—20.4</w:t>
      </w:r>
      <w:r>
        <w:rPr>
          <w:rFonts w:ascii="Times New Roman" w:hAnsi="Times New Roman"/>
          <w:b/>
          <w:i w:val="false"/>
          <w:color w:val="000000"/>
          <w:sz w:val="22"/>
        </w:rPr>
        <w:t xml:space="preserve">(256) </w:t>
      </w:r>
      <w:r>
        <w:rPr>
          <w:rFonts w:ascii="Times New Roman" w:hAnsi="Times New Roman"/>
          <w:b/>
          <w:i w:val="false"/>
          <w:color w:val="000000"/>
          <w:sz w:val="22"/>
        </w:rPr>
        <w:t xml:space="preserve">Iowa national guard service professional qualification scholarship. </w:t>
      </w:r>
      <w:r>
        <w:rPr>
          <w:rFonts w:ascii="Times New Roman" w:hAnsi="Times New Roman"/>
          <w:b w:val="false"/>
          <w:i w:val="false"/>
          <w:color w:val="000000"/>
          <w:sz w:val="22"/>
        </w:rPr>
        <w:t xml:space="preserve">In the event that the adjutant general authorizes the expenditure of unencumbered or unobligated funds from Iowa Code section </w:t>
      </w:r>
      <w:hyperlink r:id="rId25">
        <w:r>
          <w:rPr>
            <w:rStyle w:val="Hyperlink"/>
            <w:rFonts w:ascii="Times New Roman" w:hAnsi="Times New Roman"/>
            <w:b w:val="false"/>
            <w:i w:val="false"/>
            <w:color w:val="000000"/>
            <w:sz w:val="22"/>
          </w:rPr>
          <w:t>256.210(6)</w:t>
        </w:r>
      </w:hyperlink>
      <w:r>
        <w:rPr>
          <w:rFonts w:ascii="Times New Roman" w:hAnsi="Times New Roman"/>
          <w:b w:val="false"/>
          <w:i w:val="false"/>
          <w:color w:val="000000"/>
          <w:sz w:val="22"/>
        </w:rPr>
        <w:t xml:space="preserve"> to provide an eligible member of the Iowa national guard who is enrolled in an educational program that meets the criteria of Iowa Code section </w:t>
      </w:r>
      <w:hyperlink r:id="rId26">
        <w:r>
          <w:rPr>
            <w:rStyle w:val="Hyperlink"/>
            <w:rFonts w:ascii="Times New Roman" w:hAnsi="Times New Roman"/>
            <w:b w:val="false"/>
            <w:i w:val="false"/>
            <w:color w:val="000000"/>
            <w:sz w:val="22"/>
          </w:rPr>
          <w:t>256.210A</w:t>
        </w:r>
      </w:hyperlink>
      <w:r>
        <w:rPr>
          <w:rFonts w:ascii="Times New Roman" w:hAnsi="Times New Roman"/>
          <w:b w:val="false"/>
          <w:i w:val="false"/>
          <w:color w:val="000000"/>
          <w:sz w:val="22"/>
        </w:rPr>
        <w:t>, this rule will be used to administer authorized scholarships. The adjutant general will select program recipients, select educational programs, and authorize scholarship awards under this rule. The decision of the adjutant general is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color w:val="000000"/>
          <w:sz w:val="22"/>
        </w:rPr>
        <w:t xml:space="preserve">Eligible applicant. </w:t>
      </w:r>
      <w:r>
        <w:rPr>
          <w:rFonts w:ascii="Times New Roman" w:hAnsi="Times New Roman"/>
          <w:b w:val="false"/>
          <w:i w:val="false"/>
          <w:color w:val="000000"/>
          <w:sz w:val="22"/>
        </w:rPr>
        <w:t>An eligible applicant is an Iowa resident, as determined by the adjutant general, who enrolls in an educational program at an eligible institution and who meets the award eligibility criteria approved by the adjutant general and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Completes the applications the Iowa national guard deems necessary on or before the date established by the Iowa national guard, except that an individual who was on federal active duty at the time of an application deadline will have 30 days to apply upon return to Iowa from active duty.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eligibility criteria in Iowa Code section </w:t>
      </w:r>
      <w:hyperlink r:id="rId27">
        <w:r>
          <w:rPr>
            <w:rStyle w:val="Hyperlink"/>
            <w:rFonts w:ascii="Times New Roman" w:hAnsi="Times New Roman"/>
            <w:b w:val="false"/>
            <w:i w:val="false"/>
            <w:color w:val="000000"/>
            <w:sz w:val="22"/>
          </w:rPr>
          <w:t>256.210A(2)</w:t>
        </w:r>
      </w:hyperlink>
      <w:r>
        <w:rPr>
          <w:rFonts w:ascii="Times New Roman" w:hAnsi="Times New Roman"/>
          <w:b w:val="false"/>
          <w:i w:val="false"/>
          <w:color w:val="000000"/>
          <w:sz w:val="22"/>
        </w:rPr>
        <w:t>; meets satisfactory academic progress standards; and maintains satisfactory performance of duty upon return from initial active duty training, including attending a minimum of 90 percent of scheduled drill dates and attending annual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All eligible applicants will be considered for an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Maximum award and extent of award. </w:t>
      </w:r>
      <w:r>
        <w:rPr>
          <w:rFonts w:ascii="Times New Roman" w:hAnsi="Times New Roman"/>
          <w:b w:val="false"/>
          <w:i w:val="false"/>
          <w:color w:val="000000"/>
          <w:sz w:val="22"/>
        </w:rPr>
        <w:t>The adjutant general will determine the amount and extent of awards eligible applicants can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maximum award will not exceed the maximum award established by the adjutant general or the tuition and testing fees charged to the eligible applicant by the eligible institution, whichever is lower.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Scholarship awards within a term of enrollment will be reported to the commission within the state-defined payment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Awarding process. </w:t>
      </w:r>
      <w:r>
        <w:rPr>
          <w:rFonts w:ascii="Times New Roman" w:hAnsi="Times New Roman"/>
          <w:b w:val="false"/>
          <w:i w:val="false"/>
          <w:color w:val="000000"/>
          <w:sz w:val="22"/>
        </w:rPr>
        <w:t xml:space="preserve">The commission adopts the awarding process in paragraph </w:t>
      </w:r>
      <w:hyperlink r:id="rId28">
        <w:r>
          <w:rPr>
            <w:rStyle w:val="Hyperlink"/>
            <w:rFonts w:ascii="Times New Roman" w:hAnsi="Times New Roman"/>
            <w:b w:val="false"/>
            <w:i w:val="false"/>
            <w:color w:val="000000"/>
            <w:sz w:val="22"/>
          </w:rPr>
          <w:t>20.2(2)</w:t>
        </w:r>
        <w:r>
          <w:rPr>
            <w:rFonts w:ascii="Times New Roman" w:hAnsi="Times New Roman"/>
            <w:b w:val="false"/>
            <w:i/>
            <w:color w:val="000000"/>
            <w:sz w:val="22"/>
          </w:rPr>
          <w:t>“c”</w:t>
        </w:r>
      </w:hyperlink>
      <w:r>
        <w:rPr>
          <w:rFonts w:ascii="Times New Roman" w:hAnsi="Times New Roman"/>
          <w:b w:val="false"/>
          <w:i w:val="false"/>
          <w:color w:val="000000"/>
          <w:sz w:val="22"/>
        </w:rPr>
        <w:t xml:space="preserve"> with the following exceptions: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“Iowa Code section </w:t>
      </w:r>
      <w:hyperlink r:id="rId29">
        <w:r>
          <w:rPr>
            <w:rStyle w:val="Hyperlink"/>
            <w:rFonts w:ascii="Times New Roman" w:hAnsi="Times New Roman"/>
            <w:b w:val="false"/>
            <w:i w:val="false"/>
            <w:color w:val="000000"/>
            <w:sz w:val="22"/>
          </w:rPr>
          <w:t>256.210(5)</w:t>
        </w:r>
      </w:hyperlink>
      <w:r>
        <w:rPr>
          <w:rFonts w:ascii="Times New Roman" w:hAnsi="Times New Roman"/>
          <w:b w:val="false"/>
          <w:i w:val="false"/>
          <w:color w:val="000000"/>
          <w:sz w:val="22"/>
        </w:rPr>
        <w:t xml:space="preserve">” in subparagraph </w:t>
      </w:r>
      <w:hyperlink r:id="rId30">
        <w:r>
          <w:rPr>
            <w:rStyle w:val="Hyperlink"/>
            <w:rFonts w:ascii="Times New Roman" w:hAnsi="Times New Roman"/>
            <w:b w:val="false"/>
            <w:i w:val="false"/>
            <w:color w:val="000000"/>
            <w:sz w:val="22"/>
          </w:rPr>
          <w:t>20.2(2)</w:t>
        </w:r>
      </w:hyperlink>
      <w:r>
        <w:rPr>
          <w:rFonts w:ascii="Times New Roman" w:hAnsi="Times New Roman"/>
          <w:b w:val="false"/>
          <w:i/>
          <w:color w:val="000000"/>
          <w:sz w:val="22"/>
        </w:rPr>
        <w:t>“c”</w:t>
      </w:r>
      <w:r>
        <w:rPr>
          <w:rFonts w:ascii="Times New Roman" w:hAnsi="Times New Roman"/>
          <w:b w:val="false"/>
          <w:i w:val="false"/>
          <w:color w:val="000000"/>
          <w:sz w:val="22"/>
        </w:rPr>
        <w:t xml:space="preserve">(4), insert “paragraph </w:t>
      </w:r>
      <w:hyperlink r:id="rId31">
        <w:r>
          <w:rPr>
            <w:rStyle w:val="Hyperlink"/>
            <w:rFonts w:ascii="Times New Roman" w:hAnsi="Times New Roman"/>
            <w:b w:val="false"/>
            <w:i w:val="false"/>
            <w:color w:val="000000"/>
            <w:sz w:val="22"/>
          </w:rPr>
          <w:t>20.4(2)</w:t>
        </w:r>
        <w:r>
          <w:rPr>
            <w:rFonts w:ascii="Times New Roman" w:hAnsi="Times New Roman"/>
            <w:b w:val="false"/>
            <w:i/>
            <w:color w:val="000000"/>
            <w:sz w:val="22"/>
          </w:rPr>
          <w:t>‘b’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“Iowa Code section </w:t>
      </w:r>
      <w:hyperlink r:id="rId32">
        <w:r>
          <w:rPr>
            <w:rStyle w:val="Hyperlink"/>
            <w:rFonts w:ascii="Times New Roman" w:hAnsi="Times New Roman"/>
            <w:b w:val="false"/>
            <w:i w:val="false"/>
            <w:color w:val="000000"/>
            <w:sz w:val="22"/>
          </w:rPr>
          <w:t>256.210</w:t>
        </w:r>
      </w:hyperlink>
      <w:r>
        <w:rPr>
          <w:rFonts w:ascii="Times New Roman" w:hAnsi="Times New Roman"/>
          <w:b w:val="false"/>
          <w:i w:val="false"/>
          <w:color w:val="000000"/>
          <w:sz w:val="22"/>
        </w:rPr>
        <w:t xml:space="preserve">” in subparagraph </w:t>
      </w:r>
      <w:hyperlink r:id="rId33">
        <w:r>
          <w:rPr>
            <w:rStyle w:val="Hyperlink"/>
            <w:rFonts w:ascii="Times New Roman" w:hAnsi="Times New Roman"/>
            <w:b w:val="false"/>
            <w:i w:val="false"/>
            <w:color w:val="000000"/>
            <w:sz w:val="22"/>
          </w:rPr>
          <w:t>20.2(2)</w:t>
        </w:r>
        <w:r>
          <w:rPr>
            <w:rFonts w:ascii="Times New Roman" w:hAnsi="Times New Roman"/>
            <w:b w:val="false"/>
            <w:i/>
            <w:color w:val="000000"/>
            <w:sz w:val="22"/>
          </w:rPr>
          <w:t>“c”</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insert “Iowa Code section </w:t>
      </w:r>
      <w:hyperlink r:id="rId34">
        <w:r>
          <w:rPr>
            <w:rStyle w:val="Hyperlink"/>
            <w:rFonts w:ascii="Times New Roman" w:hAnsi="Times New Roman"/>
            <w:b w:val="false"/>
            <w:i w:val="false"/>
            <w:color w:val="000000"/>
            <w:sz w:val="22"/>
          </w:rPr>
          <w:t>256.210A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0051D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5">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6/20/97, Notice 4/9/97—published 7/16/97, effective 8/20/97]</w:t>
      </w:r>
    </w:p>
    <w:p>
      <w:pPr>
        <w:spacing w:before="0" w:after="0"/>
        <w:ind w:left="120"/>
        <w:jc w:val="center"/>
      </w:pPr>
      <w:r>
        <w:rPr>
          <w:rFonts w:ascii="Times New Roman" w:hAnsi="Times New Roman"/>
          <w:b w:val="false"/>
          <w:i w:val="false"/>
          <w:color w:val="000000"/>
          <w:sz w:val="21"/>
        </w:rPr>
        <w:t>[Filed 8/20/99, Notice 6/16/99—published 9/8/99, effective 10/13/99]</w:t>
      </w:r>
    </w:p>
    <w:p>
      <w:pPr>
        <w:spacing w:before="0" w:after="0"/>
        <w:ind w:left="120"/>
        <w:jc w:val="center"/>
      </w:pPr>
      <w:r>
        <w:rPr>
          <w:rFonts w:ascii="Times New Roman" w:hAnsi="Times New Roman"/>
          <w:b w:val="false"/>
          <w:i w:val="false"/>
          <w:color w:val="000000"/>
          <w:sz w:val="21"/>
        </w:rPr>
        <w:t>[Filed 4/11/03, Notice 2/19/03—published 4/30/03, effective 6/4/03]</w:t>
      </w:r>
    </w:p>
    <w:p>
      <w:pPr>
        <w:spacing w:before="0" w:after="0"/>
        <w:ind w:left="120"/>
        <w:jc w:val="center"/>
      </w:pPr>
      <w:r>
        <w:rPr>
          <w:rFonts w:ascii="Times New Roman" w:hAnsi="Times New Roman"/>
          <w:b w:val="false"/>
          <w:i w:val="false"/>
          <w:color w:val="000000"/>
          <w:sz w:val="21"/>
        </w:rPr>
        <w:t>[Filed ARC 1319C</w:t>
      </w:r>
      <w:r>
        <w:rPr>
          <w:rFonts w:ascii="Times New Roman" w:hAnsi="Times New Roman"/>
          <w:b w:val="false"/>
          <w:i w:val="false"/>
          <w:color w:val="000000"/>
          <w:sz w:val="21"/>
        </w:rPr>
        <w:t xml:space="preserve"> (Notice ARC 1122C, IAB 10/16/13)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2207C</w:t>
      </w:r>
      <w:r>
        <w:rPr>
          <w:rFonts w:ascii="Times New Roman" w:hAnsi="Times New Roman"/>
          <w:b w:val="false"/>
          <w:i w:val="false"/>
          <w:color w:val="000000"/>
          <w:sz w:val="21"/>
        </w:rPr>
        <w:t xml:space="preserve"> (Notice ARC 2111C, IAB 8/19/15)</w:t>
      </w:r>
      <w:r>
        <w:rPr>
          <w:rFonts w:ascii="Times New Roman" w:hAnsi="Times New Roman"/>
          <w:b w:val="false"/>
          <w:i w:val="false"/>
          <w:color w:val="000000"/>
          <w:sz w:val="21"/>
        </w:rPr>
        <w:t>, IAB 10/28/15, effective 12/2/15]</w:t>
      </w:r>
    </w:p>
    <w:p>
      <w:pPr>
        <w:spacing w:before="0" w:after="0"/>
        <w:ind w:left="120"/>
        <w:jc w:val="center"/>
      </w:pPr>
      <w:r>
        <w:rPr>
          <w:rFonts w:ascii="Times New Roman" w:hAnsi="Times New Roman"/>
          <w:b w:val="false"/>
          <w:i w:val="false"/>
          <w:color w:val="000000"/>
          <w:sz w:val="21"/>
        </w:rPr>
        <w:t>[Filed ARC 2753C</w:t>
      </w:r>
      <w:r>
        <w:rPr>
          <w:rFonts w:ascii="Times New Roman" w:hAnsi="Times New Roman"/>
          <w:b w:val="false"/>
          <w:i w:val="false"/>
          <w:color w:val="000000"/>
          <w:sz w:val="21"/>
        </w:rPr>
        <w:t xml:space="preserve"> (Notice ARC 2583C, IAB 6/22/16)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4184C</w:t>
      </w:r>
      <w:r>
        <w:rPr>
          <w:rFonts w:ascii="Times New Roman" w:hAnsi="Times New Roman"/>
          <w:b w:val="false"/>
          <w:i w:val="false"/>
          <w:color w:val="000000"/>
          <w:sz w:val="21"/>
        </w:rPr>
        <w:t xml:space="preserve"> (Notice ARC 3940C, IAB 8/15/18)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ARC 4717C</w:t>
      </w:r>
      <w:r>
        <w:rPr>
          <w:rFonts w:ascii="Times New Roman" w:hAnsi="Times New Roman"/>
          <w:b w:val="false"/>
          <w:i w:val="false"/>
          <w:color w:val="000000"/>
          <w:sz w:val="21"/>
        </w:rPr>
        <w:t xml:space="preserve"> (Notice ARC 4595C, IAB 8/14/19)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9585C</w:t>
      </w:r>
      <w:r>
        <w:rPr>
          <w:rFonts w:ascii="Times New Roman" w:hAnsi="Times New Roman"/>
          <w:b w:val="false"/>
          <w:i w:val="false"/>
          <w:color w:val="000000"/>
          <w:sz w:val="21"/>
        </w:rPr>
        <w:t xml:space="preserve"> (Notice ARC 9389C, IAB 7/9/25)</w:t>
      </w:r>
      <w:r>
        <w:rPr>
          <w:rFonts w:ascii="Times New Roman" w:hAnsi="Times New Roman"/>
          <w:b w:val="false"/>
          <w:i w:val="false"/>
          <w:color w:val="000000"/>
          <w:sz w:val="21"/>
        </w:rPr>
        <w:t>, IAB 10/1/25, effective 11/5/25]</w:t>
      </w:r>
    </w:p>
    <w:p>
      <w:pPr>
        <w:spacing w:before="0" w:after="0"/>
        <w:ind w:left="120"/>
        <w:jc w:val="center"/>
      </w:pPr>
      <w:r>
        <w:rPr>
          <w:rFonts w:ascii="Times New Roman" w:hAnsi="Times New Roman"/>
          <w:b w:val="false"/>
          <w:i w:val="false"/>
          <w:color w:val="000000"/>
          <w:sz w:val="21"/>
        </w:rPr>
        <w:t>[Filed ARC 0051D</w:t>
      </w:r>
      <w:r>
        <w:rPr>
          <w:rFonts w:ascii="Times New Roman" w:hAnsi="Times New Roman"/>
          <w:b w:val="false"/>
          <w:i w:val="false"/>
          <w:color w:val="000000"/>
          <w:sz w:val="21"/>
        </w:rPr>
        <w:t xml:space="preserve"> (Notice ARC 9769C, IAB 11/26/25)</w:t>
      </w:r>
      <w:r>
        <w:rPr>
          <w:rFonts w:ascii="Times New Roman" w:hAnsi="Times New Roman"/>
          <w:b w:val="false"/>
          <w:i w:val="false"/>
          <w:color w:val="000000"/>
          <w:sz w:val="21"/>
        </w:rPr>
        <w:t>, IAB 2/4/26, effective 3/11/26]</w:t>
      </w:r>
    </w:p>
    <w:sectPr>
      <w:footerReference r:id="rId36"/>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210A.pdf" Type="http://schemas.openxmlformats.org/officeDocument/2006/relationships/hyperlink" Id="rId5"/>
    <Relationship TargetMode="External" Target="https://www.legis.iowa.gov/docs/ico/chapter/256.210.pdf" Type="http://schemas.openxmlformats.org/officeDocument/2006/relationships/hyperlink" Id="rId6"/>
    <Relationship TargetMode="External" Target="https://www.legis.iowa.gov/docs/ico/chapter/256.211.pdf" Type="http://schemas.openxmlformats.org/officeDocument/2006/relationships/hyperlink" Id="rId7"/>
    <Relationship TargetMode="External" Target="https://www.legis.iowa.gov/docs/iac/rule/283.10.2.pdf" Type="http://schemas.openxmlformats.org/officeDocument/2006/relationships/hyperlink" Id="rId8"/>
    <Relationship TargetMode="External" Target="https://www.legis.iowa.gov/docs/iac/rule/283.10.2.pdf" Type="http://schemas.openxmlformats.org/officeDocument/2006/relationships/hyperlink" Id="rId9"/>
    <Relationship TargetMode="External" Target="https://www.legis.iowa.gov/docs/iac/rule/283.10.2.pdf" Type="http://schemas.openxmlformats.org/officeDocument/2006/relationships/hyperlink" Id="rId10"/>
    <Relationship TargetMode="External" Target="https://www.legis.iowa.gov/docs/iac/rule/283.10.2.pdf" Type="http://schemas.openxmlformats.org/officeDocument/2006/relationships/hyperlink" Id="rId11"/>
    <Relationship TargetMode="External" Target="https://www.legis.iowa.gov/docs/ico/chapter/256.210.pdf" Type="http://schemas.openxmlformats.org/officeDocument/2006/relationships/hyperlink" Id="rId12"/>
    <Relationship TargetMode="External" Target="https://www.legis.iowa.gov/docs/iac/rule/283.10.3.pdf" Type="http://schemas.openxmlformats.org/officeDocument/2006/relationships/hyperlink" Id="rId13"/>
    <Relationship TargetMode="External" Target="https://www.legis.iowa.gov/docs/ico/chapter/256.210.pdf" Type="http://schemas.openxmlformats.org/officeDocument/2006/relationships/hyperlink" Id="rId14"/>
    <Relationship TargetMode="External" Target="https://www.legis.iowa.gov/docs/ico/chapter/256.210.pdf" Type="http://schemas.openxmlformats.org/officeDocument/2006/relationships/hyperlink" Id="rId15"/>
    <Relationship TargetMode="External" Target="https://www.legis.iowa.gov/docs/ico/chapter/256.210.pdf" Type="http://schemas.openxmlformats.org/officeDocument/2006/relationships/hyperlink" Id="rId16"/>
    <Relationship TargetMode="External" Target="https://www.legis.iowa.gov/docs/ico/chapter/256.210.pdf" Type="http://schemas.openxmlformats.org/officeDocument/2006/relationships/hyperlink" Id="rId17"/>
    <Relationship TargetMode="External" Target="https://www.legis.iowa.gov/docs/ico/chapter/256.211.pdf" Type="http://schemas.openxmlformats.org/officeDocument/2006/relationships/hyperlink" Id="rId18"/>
    <Relationship TargetMode="External" Target="https://www.legis.iowa.gov/docs/ico/chapter/256.211.pdf" Type="http://schemas.openxmlformats.org/officeDocument/2006/relationships/hyperlink" Id="rId19"/>
    <Relationship TargetMode="External" Target="https://www.legis.iowa.gov/docs/iac/rule/283.10.3.pdf" Type="http://schemas.openxmlformats.org/officeDocument/2006/relationships/hyperlink" Id="rId20"/>
    <Relationship TargetMode="External" Target="https://www.legis.iowa.gov/docs/iac/rule/283.20.2.pdf" Type="http://schemas.openxmlformats.org/officeDocument/2006/relationships/hyperlink" Id="rId21"/>
    <Relationship TargetMode="External" Target="https://www.legis.iowa.gov/docs/ico/chapter/256.210.pdf" Type="http://schemas.openxmlformats.org/officeDocument/2006/relationships/hyperlink" Id="rId22"/>
    <Relationship TargetMode="External" Target="https://www.legis.iowa.gov/docs/iac/rule/283.20.2.pdf" Type="http://schemas.openxmlformats.org/officeDocument/2006/relationships/hyperlink" Id="rId23"/>
    <Relationship TargetMode="External" Target="https://www.legis.iowa.gov/docs/ico/chapter/256.211.pdf" Type="http://schemas.openxmlformats.org/officeDocument/2006/relationships/hyperlink" Id="rId24"/>
    <Relationship TargetMode="External" Target="https://www.legis.iowa.gov/docs/ico/chapter/256.210.pdf" Type="http://schemas.openxmlformats.org/officeDocument/2006/relationships/hyperlink" Id="rId25"/>
    <Relationship TargetMode="External" Target="https://www.legis.iowa.gov/docs/ico/chapter/256.210A.pdf" Type="http://schemas.openxmlformats.org/officeDocument/2006/relationships/hyperlink" Id="rId26"/>
    <Relationship TargetMode="External" Target="https://www.legis.iowa.gov/docs/ico/chapter/256.210A.pdf" Type="http://schemas.openxmlformats.org/officeDocument/2006/relationships/hyperlink" Id="rId27"/>
    <Relationship TargetMode="External" Target="https://www.legis.iowa.gov/docs/iac/rule/283.20.2.pdf" Type="http://schemas.openxmlformats.org/officeDocument/2006/relationships/hyperlink" Id="rId28"/>
    <Relationship TargetMode="External" Target="https://www.legis.iowa.gov/docs/ico/chapter/256.210.pdf" Type="http://schemas.openxmlformats.org/officeDocument/2006/relationships/hyperlink" Id="rId29"/>
    <Relationship TargetMode="External" Target="https://www.legis.iowa.gov/docs/iac/rule/283.20.2.pdf" Type="http://schemas.openxmlformats.org/officeDocument/2006/relationships/hyperlink" Id="rId30"/>
    <Relationship TargetMode="External" Target="https://www.legis.iowa.gov/docs/iac/rule/283.20.4.pdf" Type="http://schemas.openxmlformats.org/officeDocument/2006/relationships/hyperlink" Id="rId31"/>
    <Relationship TargetMode="External" Target="https://www.legis.iowa.gov/docs/ico/chapter/256.210.pdf" Type="http://schemas.openxmlformats.org/officeDocument/2006/relationships/hyperlink" Id="rId32"/>
    <Relationship TargetMode="External" Target="https://www.legis.iowa.gov/docs/iac/rule/283.20.2.pdf" Type="http://schemas.openxmlformats.org/officeDocument/2006/relationships/hyperlink" Id="rId33"/>
    <Relationship TargetMode="External" Target="https://www.legis.iowa.gov/docs/ico/chapter/256.210A.pdf" Type="http://schemas.openxmlformats.org/officeDocument/2006/relationships/hyperlink" Id="rId34"/>
    <Relationship TargetMode="External" Target="https://www.legis.iowa.gov/docs/ico/chapter/256.pdf" Type="http://schemas.openxmlformats.org/officeDocument/2006/relationships/hyperlink" Id="rId35"/>
    <Relationship Target="footer.xml" Type="http://schemas.openxmlformats.org/officeDocument/2006/relationships/footer"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