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COURT REPORTER EQUIPMENT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283—19.1</w:t>
      </w:r>
      <w:r>
        <w:rPr>
          <w:rFonts w:ascii="Times New Roman" w:hAnsi="Times New Roman"/>
          <w:b/>
          <w:i w:val="false"/>
          <w:color w:val="000000"/>
          <w:sz w:val="22"/>
        </w:rPr>
        <w:t xml:space="preserve">(261) </w:t>
      </w:r>
      <w:r>
        <w:rPr>
          <w:rFonts w:ascii="Times New Roman" w:hAnsi="Times New Roman"/>
          <w:b/>
          <w:i w:val="false"/>
          <w:color w:val="000000"/>
          <w:sz w:val="22"/>
        </w:rPr>
        <w:t xml:space="preserve">Basis for aid. </w:t>
      </w:r>
      <w:r>
        <w:rPr>
          <w:rFonts w:ascii="Times New Roman" w:hAnsi="Times New Roman"/>
          <w:b w:val="false"/>
          <w:i w:val="false"/>
          <w:color w:val="000000"/>
          <w:sz w:val="22"/>
        </w:rPr>
        <w:t>Assistance available under the court reporter equipment grant program is for students who are enrolled in a court reporter program at an eligible college or university.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283—19.2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 xml:space="preserve">means a court reporter program that meets the definition of an eligible program of study in </w:t>
      </w:r>
      <w:hyperlink r:id="rId5">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a community college established under Iowa Code chapter </w:t>
      </w:r>
      <w:hyperlink r:id="rId6">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 institution of higher learning governed by the state board of regents, or an accredited private institution as defined in Iowa Code section </w:t>
      </w:r>
      <w:hyperlink r:id="rId7">
        <w:r>
          <w:rPr>
            <w:rStyle w:val="Hyperlink"/>
            <w:rFonts w:ascii="Times New Roman" w:hAnsi="Times New Roman"/>
            <w:b w:val="false"/>
            <w:i w:val="false"/>
            <w:color w:val="000000"/>
            <w:sz w:val="22"/>
          </w:rPr>
          <w:t>256.183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“Semester” </w:t>
      </w:r>
      <w:r>
        <w:rPr>
          <w:rFonts w:ascii="Times New Roman" w:hAnsi="Times New Roman"/>
          <w:b w:val="false"/>
          <w:i w:val="false"/>
          <w:color w:val="000000"/>
          <w:sz w:val="22"/>
        </w:rPr>
        <w:t>means the fall, spring, or summer term of enrollment at an eligible institution, if the eligible institution is on a semester system, or the equivalent, if the institution is on a system other than a semester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283—19.3</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An eligible applicant is enrolled in an approved program at an eligible institution and completes the applications the college student aid commission (commission) deems necessary on or before the date established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283—19.4</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color w:val="000000"/>
          <w:sz w:val="22"/>
        </w:rPr>
        <w:t xml:space="preserve">Extent of award and maximum award. </w:t>
      </w:r>
      <w:r>
        <w:rPr>
          <w:rFonts w:ascii="Times New Roman" w:hAnsi="Times New Roman"/>
          <w:b w:val="false"/>
          <w:i w:val="false"/>
          <w:color w:val="000000"/>
          <w:sz w:val="22"/>
        </w:rPr>
        <w:t>The maximum award will be established annually by the commission but will not exceed $2,000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19.4(3)</w:t>
      </w:r>
      <w:r>
        <w:rPr>
          <w:rFonts w:ascii="Times New Roman" w:hAnsi="Times New Roman"/>
          <w:b w:val="false"/>
          <w:i w:val="false"/>
          <w:color w:val="000000"/>
          <w:sz w:val="22"/>
        </w:rPr>
        <w:t> </w:t>
      </w:r>
      <w:r>
        <w:rPr>
          <w:rFonts w:ascii="Times New Roman" w:hAnsi="Times New Roman"/>
          <w:b w:val="false"/>
          <w:i/>
          <w:color w:val="000000"/>
          <w:sz w:val="22"/>
        </w:rPr>
        <w:t xml:space="preserve">Priority for awards. </w:t>
      </w:r>
      <w:r>
        <w:rPr>
          <w:rFonts w:ascii="Times New Roman" w:hAnsi="Times New Roman"/>
          <w:b w:val="false"/>
          <w:i w:val="false"/>
          <w:color w:val="000000"/>
          <w:sz w:val="22"/>
        </w:rPr>
        <w:t>In the event that funds available are insufficient to provide maximum awards to all eligible applicants, awards are prioritized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Iowa residents, are in their first year in the approved program, and are employed in a court-related job, by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not Iowa residents, are in their first year in the approved program, and are employed in a court-related job, by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Iowa residents, are not in their first year in the approved program, and are employed in a court-related job, by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not Iowa residents, are not in their first year in the approved program, and are employed in a court-related job, by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19.4(4)</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provide notice of the eligibility criteria and maximum award to participating eligible institutions annually to authorize awarding.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inform students applying for admission to the approved program of the availability of the court reporter equipment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will designate eligible applicants for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verify eligible applicants’ enrollment in the approved program following institutional verification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Eligible applicants will submit documentation of their court reporter equipment or software purchase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reimburse the eligible applicant for court reporter equipment or software purchases in the amount of the maximum award specified under subrule </w:t>
      </w:r>
      <w:hyperlink r:id="rId9">
        <w:r>
          <w:rPr>
            <w:rStyle w:val="Hyperlink"/>
            <w:rFonts w:ascii="Times New Roman" w:hAnsi="Times New Roman"/>
            <w:b w:val="false"/>
            <w:i w:val="false"/>
            <w:color w:val="000000"/>
            <w:sz w:val="22"/>
          </w:rPr>
          <w:t>19.4(2)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periodically investigate and review compliance of eligible institutions participating in this program with the criteria established in Iowa Code section </w:t>
      </w:r>
      <w:hyperlink r:id="rId10">
        <w:r>
          <w:rPr>
            <w:rStyle w:val="Hyperlink"/>
            <w:rFonts w:ascii="Times New Roman" w:hAnsi="Times New Roman"/>
            <w:b w:val="false"/>
            <w:i w:val="false"/>
            <w:color w:val="000000"/>
            <w:sz w:val="22"/>
          </w:rPr>
          <w:t>256.231</w:t>
        </w:r>
      </w:hyperlink>
      <w:r>
        <w:rPr>
          <w:rFonts w:ascii="Times New Roman" w:hAnsi="Times New Roman"/>
          <w:b w:val="false"/>
          <w:i w:val="false"/>
          <w:color w:val="000000"/>
          <w:sz w:val="22"/>
        </w:rPr>
        <w:t xml:space="preserve"> and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283—19.5</w:t>
      </w:r>
      <w:r>
        <w:rPr>
          <w:rFonts w:ascii="Times New Roman" w:hAnsi="Times New Roman"/>
          <w:b/>
          <w:i w:val="false"/>
          <w:color w:val="000000"/>
          <w:sz w:val="22"/>
        </w:rPr>
        <w:t xml:space="preserve">(261) </w:t>
      </w:r>
      <w:r>
        <w:rPr>
          <w:rFonts w:ascii="Times New Roman" w:hAnsi="Times New Roman"/>
          <w:b/>
          <w:i w:val="false"/>
          <w:color w:val="000000"/>
          <w:sz w:val="22"/>
        </w:rPr>
        <w:t xml:space="preserve">Institutional application process. </w:t>
      </w:r>
      <w:r>
        <w:rPr>
          <w:rFonts w:ascii="Times New Roman" w:hAnsi="Times New Roman"/>
          <w:b w:val="false"/>
          <w:i w:val="false"/>
          <w:color w:val="000000"/>
          <w:sz w:val="22"/>
        </w:rPr>
        <w:t>Following the first year of administration of the court reporter equipment grant program by the commission, an institution requesting to participate in the program will apply to the commission using the commission’s designated application. An applicant institution will provide the commission with documentation establishing the applicant institution’s eligibility as an eligible institution that offers an approved program. Applicant institutions will submit the application and documentation establishing the applicant institution’s eligibility before October 1 of the year prior to the beginning of the academic year for which the applicant institution is applying for participation.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256.231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0050D</w:t>
      </w:r>
      <w:r>
        <w:rPr>
          <w:rFonts w:ascii="Times New Roman" w:hAnsi="Times New Roman"/>
          <w:b w:val="false"/>
          <w:i w:val="false"/>
          <w:color w:val="000000"/>
          <w:sz w:val="21"/>
        </w:rPr>
        <w:t xml:space="preserve"> (Notice ARC 9766C, IAB 11/26/25)</w:t>
      </w:r>
      <w:r>
        <w:rPr>
          <w:rFonts w:ascii="Times New Roman" w:hAnsi="Times New Roman"/>
          <w:b w:val="false"/>
          <w:i w:val="false"/>
          <w:color w:val="000000"/>
          <w:sz w:val="21"/>
        </w:rPr>
        <w:t>, IAB 2/4/26, effective 3/11/26]</w:t>
      </w:r>
    </w:p>
    <w:sectPr>
      <w:footerReference r:id="rId12"/>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83.10.pdf" Type="http://schemas.openxmlformats.org/officeDocument/2006/relationships/hyperlink" Id="rId5"/>
    <Relationship TargetMode="External" Target="https://www.legis.iowa.gov/docs/ico/chapter/260C.pdf" Type="http://schemas.openxmlformats.org/officeDocument/2006/relationships/hyperlink" Id="rId6"/>
    <Relationship TargetMode="External" Target="https://www.legis.iowa.gov/docs/ico/chapter/256.183.pdf" Type="http://schemas.openxmlformats.org/officeDocument/2006/relationships/hyperlink" Id="rId7"/>
    <Relationship TargetMode="External" Target="https://www.legis.iowa.gov/docs/iac/rule/283.10.2.pdf" Type="http://schemas.openxmlformats.org/officeDocument/2006/relationships/hyperlink" Id="rId8"/>
    <Relationship TargetMode="External" Target="https://www.legis.iowa.gov/docs/iac/rule/283.19.4.pdf" Type="http://schemas.openxmlformats.org/officeDocument/2006/relationships/hyperlink" Id="rId9"/>
    <Relationship TargetMode="External" Target="https://www.legis.iowa.gov/docs/ico/chapter/256.231.pdf" Type="http://schemas.openxmlformats.org/officeDocument/2006/relationships/hyperlink" Id="rId10"/>
    <Relationship TargetMode="External" Target="https://www.legis.iowa.gov/docs/ico/chapter/256.231.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