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IOWA WORK-STUDY PROGRAM</w:t>
      </w:r>
    </w:p>
    <w:p>
      <w:pPr>
        <w:spacing w:before="0" w:after="0"/>
        <w:ind w:left="120"/>
        <w:jc w:val="center"/>
      </w:pPr>
      <w:r>
        <w:rPr>
          <w:rFonts w:ascii="Times New Roman" w:hAnsi="Times New Roman"/>
          <w:b w:val="false"/>
          <w:i w:val="false"/>
          <w:color w:val="000000"/>
          <w:sz w:val="14"/>
        </w:rPr>
        <w:t>[Prior to 8/10/88, College Aid Commission, 245—Ch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283—18.1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Assistance available under the Iowa work-study program is based on the financial need of Iowa residents enrolled at eligible postsecondary education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9584C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283—18.2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postsecondary education institution”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256.207</w:t>
        </w:r>
      </w:hyperlink>
      <w:r>
        <w:rPr>
          <w:rFonts w:ascii="Times New Roman" w:hAnsi="Times New Roman"/>
          <w:b w:val="false"/>
          <w:i w:val="false"/>
          <w:color w:val="000000"/>
          <w:sz w:val="22"/>
        </w:rPr>
        <w:t xml:space="preserve"> and described in rule </w:t>
      </w:r>
      <w:hyperlink r:id="rId6">
        <w:r>
          <w:rPr>
            <w:rStyle w:val="Hyperlink"/>
            <w:rFonts w:ascii="Times New Roman" w:hAnsi="Times New Roman"/>
            <w:b w:val="false"/>
            <w:i w:val="false"/>
            <w:color w:val="000000"/>
            <w:sz w:val="22"/>
          </w:rPr>
          <w:t>283—18.6</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w:t>
      </w:r>
      <w:hyperlink r:id="rId8">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w:t>
      </w:r>
      <w:hyperlink r:id="rId9">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w:t>
      </w:r>
      <w:hyperlink r:id="rId10">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enrollment in at least 6 but fewer than 12 hours per semester or the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w:t>
      </w:r>
      <w:hyperlink r:id="rId12">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9584C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283—18.3</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Administrative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Alignment with federal work-study regulations. </w:t>
      </w:r>
      <w:r>
        <w:rPr>
          <w:rFonts w:ascii="Times New Roman" w:hAnsi="Times New Roman"/>
          <w:b w:val="false"/>
          <w:i w:val="false"/>
          <w:color w:val="000000"/>
          <w:sz w:val="22"/>
        </w:rPr>
        <w:t xml:space="preserve">To facilitate efficient administration, the commission hereby adopts the federal work-study regulations found at </w:t>
      </w:r>
      <w:r>
        <w:rPr>
          <w:rFonts w:ascii="Times New Roman" w:hAnsi="Times New Roman"/>
          <w:b w:val="false"/>
          <w:i w:val="false"/>
          <w:color w:val="000000"/>
          <w:sz w:val="22"/>
        </w:rPr>
        <w:t>34 CFR Part 675</w:t>
      </w:r>
      <w:r>
        <w:rPr>
          <w:rFonts w:ascii="Times New Roman" w:hAnsi="Times New Roman"/>
          <w:b w:val="false"/>
          <w:i w:val="false"/>
          <w:color w:val="000000"/>
          <w:sz w:val="22"/>
        </w:rPr>
        <w:t>, Subpart A, as of July 1, 2024. Provisions of the federal regulations adopted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Selection of students for employment (</w:t>
      </w:r>
      <w:r>
        <w:rPr>
          <w:rFonts w:ascii="Times New Roman" w:hAnsi="Times New Roman"/>
          <w:b w:val="false"/>
          <w:i w:val="false"/>
          <w:color w:val="000000"/>
          <w:sz w:val="22"/>
        </w:rPr>
        <w:t>34 CFR §675.10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to students (</w:t>
      </w:r>
      <w:r>
        <w:rPr>
          <w:rFonts w:ascii="Times New Roman" w:hAnsi="Times New Roman"/>
          <w:b w:val="false"/>
          <w:i w:val="false"/>
          <w:color w:val="000000"/>
          <w:sz w:val="22"/>
        </w:rPr>
        <w:t>34 CFR §675.16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Fiscal procedures and records (</w:t>
      </w:r>
      <w:r>
        <w:rPr>
          <w:rFonts w:ascii="Times New Roman" w:hAnsi="Times New Roman"/>
          <w:b w:val="false"/>
          <w:i w:val="false"/>
          <w:color w:val="000000"/>
          <w:sz w:val="22"/>
        </w:rPr>
        <w:t>34 CFR §675.19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employment conditions for institutional employment, including civil rights requirements, state worker compensation laws, and social security requirements (</w:t>
      </w:r>
      <w:r>
        <w:rPr>
          <w:rFonts w:ascii="Times New Roman" w:hAnsi="Times New Roman"/>
          <w:b w:val="false"/>
          <w:i w:val="false"/>
          <w:color w:val="000000"/>
          <w:sz w:val="22"/>
        </w:rPr>
        <w:t>34 CFR §675.20(c)</w:t>
      </w:r>
      <w:r>
        <w:rPr>
          <w:rFonts w:ascii="Times New Roman" w:hAnsi="Times New Roman"/>
          <w:b w:val="false"/>
          <w:i w:val="false"/>
          <w:color w:val="000000"/>
          <w:sz w:val="22"/>
        </w:rPr>
        <w:t xml:space="preserve"> and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Institutional employment (</w:t>
      </w:r>
      <w:r>
        <w:rPr>
          <w:rFonts w:ascii="Times New Roman" w:hAnsi="Times New Roman"/>
          <w:b w:val="false"/>
          <w:i w:val="false"/>
          <w:color w:val="000000"/>
          <w:sz w:val="22"/>
        </w:rPr>
        <w:t>34 CFR §675.21</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Wage administration (</w:t>
      </w:r>
      <w:r>
        <w:rPr>
          <w:rFonts w:ascii="Times New Roman" w:hAnsi="Times New Roman"/>
          <w:b w:val="false"/>
          <w:i w:val="false"/>
          <w:color w:val="000000"/>
          <w:sz w:val="22"/>
        </w:rPr>
        <w:t>34 CFR §675.24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No transfer of funds. </w:t>
      </w:r>
      <w:r>
        <w:rPr>
          <w:rFonts w:ascii="Times New Roman" w:hAnsi="Times New Roman"/>
          <w:b w:val="false"/>
          <w:i w:val="false"/>
          <w:color w:val="000000"/>
          <w:sz w:val="22"/>
        </w:rPr>
        <w:t>An eligible postsecondary education institution must administer state-funded work-study funds for Iowa residents in the same manner as the institution administers its federal work-study program, except that state funds cannot be transferred to other student aid programs or across state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color w:val="000000"/>
          <w:sz w:val="22"/>
        </w:rPr>
        <w:t xml:space="preserve">Employment restrictions. </w:t>
      </w:r>
      <w:r>
        <w:rPr>
          <w:rFonts w:ascii="Times New Roman" w:hAnsi="Times New Roman"/>
          <w:b w:val="false"/>
          <w:i w:val="false"/>
          <w:color w:val="000000"/>
          <w:sz w:val="22"/>
        </w:rPr>
        <w:t>The creation of work-study opportunities will not result in the displacement of employed workers or impair or affect existing contracts for services, and the funding used by an eligible postsecondary education institution will supplement and not supplant jobs and existing financial aid programs provided to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9584C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283—18.4</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 xml:space="preserve">An eligible applicant is an Iowa resident who is enrolled full-time or part-time in a program of study at an eligible postsecondary education institution, is employed at an eligible postsecondary education institution, and meets the program eligibility criteria in Iowa Code section </w:t>
      </w:r>
      <w:hyperlink r:id="rId13">
        <w:r>
          <w:rPr>
            <w:rStyle w:val="Hyperlink"/>
            <w:rFonts w:ascii="Times New Roman" w:hAnsi="Times New Roman"/>
            <w:b w:val="false"/>
            <w:i w:val="false"/>
            <w:color w:val="000000"/>
            <w:sz w:val="22"/>
          </w:rPr>
          <w:t>256.208</w:t>
        </w:r>
      </w:hyperlink>
      <w:r>
        <w:rPr>
          <w:rFonts w:ascii="Times New Roman" w:hAnsi="Times New Roman"/>
          <w:b w:val="false"/>
          <w:i w:val="false"/>
          <w:color w:val="000000"/>
          <w:sz w:val="22"/>
        </w:rPr>
        <w:t xml:space="preserve">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val="false"/>
          <w:color w:val="000000"/>
          <w:sz w:val="22"/>
        </w:rPr>
        <w:t>Completes the Free Application for Federal Student Aid and any other application the eligible postsecondary education institution deems necessary on or before the date established by the eligible postsecondary education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4">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9584C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283—18.5</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Eligible postsecondary education institutions will document the consistent processes by which they select eligible applicants to receive awards.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color w:val="000000"/>
          <w:sz w:val="22"/>
        </w:rPr>
        <w:t xml:space="preserve">Maximum award. </w:t>
      </w:r>
      <w:r>
        <w:rPr>
          <w:rFonts w:ascii="Times New Roman" w:hAnsi="Times New Roman"/>
          <w:b w:val="false"/>
          <w:i w:val="false"/>
          <w:color w:val="000000"/>
          <w:sz w:val="22"/>
        </w:rPr>
        <w:t>The maximum award for full-time students will not exceed the student’s financial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distribute funding allocations, and request acceptance of the funding allocation from each eligible postsecondary education institution annually. Eligible postsecondary education institutions will accept or decline the funding allocation by the deadline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Funding allocations that are declined or unspent by the date the commission deems necessary will be reallocated to participating eligible postsecondary education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postsecondary education institutions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postsecondary education institutions will distribute awards as eligible applicants complete their employment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postsecondary education institutions will provide information about the awards earned by eligible applicants to the commission in a format specified by the commission at the end of each semester or the equivalent. If all allocated funds are not spent by an eligible postsecondary education institution by the end of the year, those unspent funds may be deducted from the eligible postsecondary education institution’s subsequent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Eligible postsecondary education institutions are responsible for completing necessary verification and for coordinating other aid to ensure compliance with student eligibility criteria and allowable award amounts. Eligible postsecondary education institutions will report changes in student eligibility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9584C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283—18.6</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postsecondary education institution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nonparticipating eligible postsecondary education institution will request participation using the commission’s designated application. The institution will meet the eligibility criteria in Iowa Code section </w:t>
      </w:r>
      <w:hyperlink r:id="rId15">
        <w:r>
          <w:rPr>
            <w:rStyle w:val="Hyperlink"/>
            <w:rFonts w:ascii="Times New Roman" w:hAnsi="Times New Roman"/>
            <w:b w:val="false"/>
            <w:i w:val="false"/>
            <w:color w:val="000000"/>
            <w:sz w:val="22"/>
          </w:rPr>
          <w:t>256.207</w:t>
        </w:r>
      </w:hyperlink>
      <w:r>
        <w:rPr>
          <w:rFonts w:ascii="Times New Roman" w:hAnsi="Times New Roman"/>
          <w:b w:val="false"/>
          <w:i w:val="false"/>
          <w:color w:val="000000"/>
          <w:sz w:val="22"/>
        </w:rPr>
        <w:t xml:space="preserve"> at the time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color w:val="000000"/>
          <w:sz w:val="22"/>
        </w:rPr>
        <w:t xml:space="preserve">Deadline to apply. </w:t>
      </w:r>
      <w:r>
        <w:rPr>
          <w:rFonts w:ascii="Times New Roman" w:hAnsi="Times New Roman"/>
          <w:b w:val="false"/>
          <w:i w:val="false"/>
          <w:color w:val="000000"/>
          <w:sz w:val="22"/>
        </w:rPr>
        <w:t>Nonparticipating eligible postsecondary education institutions seeking to participate in the Iowa work-study program will submit applications on or before October 1 of the year prior to the beginning of the academic year for which the nonparticipating eligible postsecondary education institutions are applying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color w:val="000000"/>
          <w:sz w:val="22"/>
        </w:rPr>
        <w:t xml:space="preserve">Compliance audits. </w:t>
      </w:r>
      <w:r>
        <w:rPr>
          <w:rFonts w:ascii="Times New Roman" w:hAnsi="Times New Roman"/>
          <w:b w:val="false"/>
          <w:i w:val="false"/>
          <w:color w:val="000000"/>
          <w:sz w:val="22"/>
        </w:rPr>
        <w:t xml:space="preserve">The commission will periodically investigate and review compliance of eligible postsecondary education institutions participating in this program with the criteria established in Iowa Code chapter </w:t>
      </w:r>
      <w:hyperlink r:id="rId1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this rule. If the commission finds that an eligible postsecondary education institution fails to comply with the provisions of Iowa Code sections </w:t>
      </w:r>
      <w:hyperlink r:id="rId17">
        <w:r>
          <w:rPr>
            <w:rStyle w:val="Hyperlink"/>
            <w:rFonts w:ascii="Times New Roman" w:hAnsi="Times New Roman"/>
            <w:b w:val="false"/>
            <w:i w:val="false"/>
            <w:color w:val="000000"/>
            <w:sz w:val="22"/>
          </w:rPr>
          <w:t>256.206</w:t>
        </w:r>
      </w:hyperlink>
      <w:r>
        <w:rPr>
          <w:rFonts w:ascii="Times New Roman" w:hAnsi="Times New Roman"/>
          <w:b w:val="false"/>
          <w:i w:val="false"/>
          <w:color w:val="000000"/>
          <w:sz w:val="22"/>
        </w:rPr>
        <w:t xml:space="preserve"> through </w:t>
      </w:r>
      <w:hyperlink r:id="rId18">
        <w:r>
          <w:rPr>
            <w:rStyle w:val="Hyperlink"/>
            <w:rFonts w:ascii="Times New Roman" w:hAnsi="Times New Roman"/>
            <w:b w:val="false"/>
            <w:i w:val="false"/>
            <w:color w:val="000000"/>
            <w:sz w:val="22"/>
          </w:rPr>
          <w:t>256.209</w:t>
        </w:r>
      </w:hyperlink>
      <w:r>
        <w:rPr>
          <w:rFonts w:ascii="Times New Roman" w:hAnsi="Times New Roman"/>
          <w:b w:val="false"/>
          <w:i w:val="false"/>
          <w:color w:val="000000"/>
          <w:sz w:val="22"/>
        </w:rPr>
        <w:t xml:space="preserve"> or this rule, participation in the Iowa work-study program may be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9584C</w:t>
      </w:r>
      <w:r>
        <w:rPr>
          <w:rFonts w:ascii="Times New Roman" w:hAnsi="Times New Roman"/>
          <w:b w:val="false"/>
          <w:i w:val="false"/>
          <w:color w:val="000000"/>
          <w:sz w:val="16"/>
        </w:rPr>
        <w:t>, IAB 10/1/25,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256.206</w:t>
        </w:r>
      </w:hyperlink>
      <w:r>
        <w:rPr>
          <w:rFonts w:ascii="Times New Roman" w:hAnsi="Times New Roman"/>
          <w:b w:val="false"/>
          <w:i w:val="false"/>
          <w:color w:val="000000"/>
          <w:sz w:val="22"/>
        </w:rPr>
        <w:t xml:space="preserve"> through </w:t>
      </w:r>
      <w:hyperlink r:id="rId20">
        <w:r>
          <w:rPr>
            <w:rStyle w:val="Hyperlink"/>
            <w:rFonts w:ascii="Times New Roman" w:hAnsi="Times New Roman"/>
            <w:b w:val="false"/>
            <w:i w:val="false"/>
            <w:color w:val="000000"/>
            <w:sz w:val="22"/>
          </w:rPr>
          <w:t>256.209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8/13/87—published 9/9/87, effective 8/21/87]</w:t>
      </w:r>
    </w:p>
    <w:p>
      <w:pPr>
        <w:spacing w:before="0" w:after="0"/>
        <w:ind w:left="120"/>
        <w:jc w:val="center"/>
      </w:pPr>
      <w:r>
        <w:rPr>
          <w:rFonts w:ascii="Times New Roman" w:hAnsi="Times New Roman"/>
          <w:b w:val="false"/>
          <w:i w:val="false"/>
          <w:color w:val="000000"/>
          <w:sz w:val="21"/>
        </w:rPr>
        <w:t>[Filed 1/15/88, Notice 9/9/87—published 2/10/88, effective 3/16/88]</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11/29/89, Notice 10/4/89—published 12/27/89, effective 1/31/90]</w:t>
      </w:r>
    </w:p>
    <w:p>
      <w:pPr>
        <w:spacing w:before="0" w:after="0"/>
        <w:ind w:left="120"/>
        <w:jc w:val="center"/>
      </w:pPr>
      <w:r>
        <w:rPr>
          <w:rFonts w:ascii="Times New Roman" w:hAnsi="Times New Roman"/>
          <w:b w:val="false"/>
          <w:i w:val="false"/>
          <w:color w:val="000000"/>
          <w:sz w:val="21"/>
        </w:rPr>
        <w:t>[Filed 1/29/91, Notice 12/12/90—published 2/20/91, effective 3/27/91]</w:t>
      </w:r>
    </w:p>
    <w:p>
      <w:pPr>
        <w:spacing w:before="0" w:after="0"/>
        <w:ind w:left="120"/>
        <w:jc w:val="center"/>
      </w:pPr>
      <w:r>
        <w:rPr>
          <w:rFonts w:ascii="Times New Roman" w:hAnsi="Times New Roman"/>
          <w:b w:val="false"/>
          <w:i w:val="false"/>
          <w:color w:val="000000"/>
          <w:sz w:val="21"/>
        </w:rPr>
        <w:t>[Filed 9/13/91, Notice 7/24/91—published 10/2/91, effective 11/6/91]</w:t>
      </w:r>
    </w:p>
    <w:p>
      <w:pPr>
        <w:spacing w:before="0" w:after="0"/>
        <w:ind w:left="120"/>
        <w:jc w:val="center"/>
      </w:pPr>
      <w:r>
        <w:rPr>
          <w:rFonts w:ascii="Times New Roman" w:hAnsi="Times New Roman"/>
          <w:b w:val="false"/>
          <w:i w:val="false"/>
          <w:color w:val="000000"/>
          <w:sz w:val="21"/>
        </w:rPr>
        <w:t>[Filed 9/25/92, Notice 8/5/92—published 10/14/92, effective 11/18/92]</w:t>
      </w:r>
    </w:p>
    <w:p>
      <w:pPr>
        <w:spacing w:before="0" w:after="0"/>
        <w:ind w:left="120"/>
        <w:jc w:val="center"/>
      </w:pPr>
      <w:r>
        <w:rPr>
          <w:rFonts w:ascii="Times New Roman" w:hAnsi="Times New Roman"/>
          <w:b w:val="false"/>
          <w:i w:val="false"/>
          <w:color w:val="000000"/>
          <w:sz w:val="21"/>
        </w:rPr>
        <w:t>[Filed 1/20/95, Notice 10/12/94—published 2/15/95, effective 3/22/95]</w:t>
      </w:r>
    </w:p>
    <w:p>
      <w:pPr>
        <w:spacing w:before="0" w:after="0"/>
        <w:ind w:left="120"/>
        <w:jc w:val="center"/>
      </w:pPr>
      <w:r>
        <w:rPr>
          <w:rFonts w:ascii="Times New Roman" w:hAnsi="Times New Roman"/>
          <w:b w:val="false"/>
          <w:i w:val="false"/>
          <w:color w:val="000000"/>
          <w:sz w:val="21"/>
        </w:rPr>
        <w:t>[Filed 1/20/95, Notice 12/7/94—published 2/15/95, effective 3/22/95]</w:t>
      </w:r>
    </w:p>
    <w:p>
      <w:pPr>
        <w:spacing w:before="0" w:after="0"/>
        <w:ind w:left="120"/>
        <w:jc w:val="center"/>
      </w:pPr>
      <w:r>
        <w:rPr>
          <w:rFonts w:ascii="Times New Roman" w:hAnsi="Times New Roman"/>
          <w:b w:val="false"/>
          <w:i w:val="false"/>
          <w:color w:val="000000"/>
          <w:sz w:val="21"/>
        </w:rPr>
        <w:t>[Filed 10/3/95, Notice 8/16/95—published 10/25/95, effective 11/29/95]</w:t>
      </w:r>
    </w:p>
    <w:p>
      <w:pPr>
        <w:spacing w:before="0" w:after="0"/>
        <w:ind w:left="120"/>
        <w:jc w:val="center"/>
      </w:pPr>
      <w:r>
        <w:rPr>
          <w:rFonts w:ascii="Times New Roman" w:hAnsi="Times New Roman"/>
          <w:b w:val="false"/>
          <w:i w:val="false"/>
          <w:color w:val="000000"/>
          <w:sz w:val="21"/>
        </w:rPr>
        <w:t>[Filed 1/20/06, Notice 10/26/05—published 2/15/06, effective 3/22/06]</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9584C</w:t>
      </w:r>
      <w:r>
        <w:rPr>
          <w:rFonts w:ascii="Times New Roman" w:hAnsi="Times New Roman"/>
          <w:b w:val="false"/>
          <w:i w:val="false"/>
          <w:color w:val="000000"/>
          <w:sz w:val="21"/>
        </w:rPr>
        <w:t xml:space="preserve"> (Notice ARC 9388C, IAB 7/9/25)</w:t>
      </w:r>
      <w:r>
        <w:rPr>
          <w:rFonts w:ascii="Times New Roman" w:hAnsi="Times New Roman"/>
          <w:b w:val="false"/>
          <w:i w:val="false"/>
          <w:color w:val="000000"/>
          <w:sz w:val="21"/>
        </w:rPr>
        <w:t>, IAB 10/1/25, effective 11/5/25]</w:t>
      </w:r>
    </w:p>
    <w:sectPr>
      <w:footerReference r:id="rId2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207.pdf" Type="http://schemas.openxmlformats.org/officeDocument/2006/relationships/hyperlink" Id="rId5"/>
    <Relationship TargetMode="External" Target="https://www.legis.iowa.gov/docs/iac/rule/283.18.6.pdf" Type="http://schemas.openxmlformats.org/officeDocument/2006/relationships/hyperlink" Id="rId6"/>
    <Relationship TargetMode="External" Target="https://www.legis.iowa.gov/docs/iac/chapter/283.10.pdf" Type="http://schemas.openxmlformats.org/officeDocument/2006/relationships/hyperlink" Id="rId7"/>
    <Relationship TargetMode="External" Target="https://www.legis.iowa.gov/docs/iac/chapter/283.10.pdf" Type="http://schemas.openxmlformats.org/officeDocument/2006/relationships/hyperlink" Id="rId8"/>
    <Relationship TargetMode="External" Target="https://www.legis.iowa.gov/docs/iac/chapter/283.10.pdf" Type="http://schemas.openxmlformats.org/officeDocument/2006/relationships/hyperlink" Id="rId9"/>
    <Relationship TargetMode="External" Target="https://www.legis.iowa.gov/docs/iac/chapter/283.10.pdf" Type="http://schemas.openxmlformats.org/officeDocument/2006/relationships/hyperlink" Id="rId10"/>
    <Relationship TargetMode="External" Target="https://www.legis.iowa.gov/docs/iac/chapter/283.10.pdf" Type="http://schemas.openxmlformats.org/officeDocument/2006/relationships/hyperlink" Id="rId11"/>
    <Relationship TargetMode="External" Target="https://www.legis.iowa.gov/docs/iac/chapter/283.10.pdf" Type="http://schemas.openxmlformats.org/officeDocument/2006/relationships/hyperlink" Id="rId12"/>
    <Relationship TargetMode="External" Target="https://www.legis.iowa.gov/docs/ico/chapter/256.208.pdf" Type="http://schemas.openxmlformats.org/officeDocument/2006/relationships/hyperlink" Id="rId13"/>
    <Relationship TargetMode="External" Target="https://www.legis.iowa.gov/docs/iac/rule/283.10.3.pdf" Type="http://schemas.openxmlformats.org/officeDocument/2006/relationships/hyperlink" Id="rId14"/>
    <Relationship TargetMode="External" Target="https://www.legis.iowa.gov/docs/ico/chapter/256.207.pdf" Type="http://schemas.openxmlformats.org/officeDocument/2006/relationships/hyperlink" Id="rId15"/>
    <Relationship TargetMode="External" Target="https://www.legis.iowa.gov/docs/ico/chapter/256.pdf" Type="http://schemas.openxmlformats.org/officeDocument/2006/relationships/hyperlink" Id="rId16"/>
    <Relationship TargetMode="External" Target="https://www.legis.iowa.gov/docs/ico/chapter/256.206.pdf" Type="http://schemas.openxmlformats.org/officeDocument/2006/relationships/hyperlink" Id="rId17"/>
    <Relationship TargetMode="External" Target="https://www.legis.iowa.gov/docs/ico/chapter/256.209.pdf" Type="http://schemas.openxmlformats.org/officeDocument/2006/relationships/hyperlink" Id="rId18"/>
    <Relationship TargetMode="External" Target="https://www.legis.iowa.gov/docs/ico/chapter/256.206.pdf" Type="http://schemas.openxmlformats.org/officeDocument/2006/relationships/hyperlink" Id="rId19"/>
    <Relationship TargetMode="External" Target="https://www.legis.iowa.gov/docs/ico/chapter/256.209.pdf" Type="http://schemas.openxmlformats.org/officeDocument/2006/relationships/hyperlink" Id="rId20"/>
    <Relationship Target="footer.xml" Type="http://schemas.openxmlformats.org/officeDocument/2006/relationships/footer"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