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w:t>
      </w:r>
    </w:p>
    <w:p>
      <w:pPr>
        <w:spacing w:before="0" w:after="0"/>
        <w:ind w:left="120"/>
        <w:jc w:val="center"/>
      </w:pPr>
      <w:r>
        <w:rPr>
          <w:rFonts w:ascii="Times New Roman" w:hAnsi="Times New Roman"/>
          <w:b w:val="false"/>
          <w:i w:val="false"/>
          <w:color w:val="000000"/>
          <w:sz w:val="21"/>
        </w:rPr>
        <w:t>HEALTH CARE PROFESSIONAL INCENTIVE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3/11/31</w:t>
      </w:r>
    </w:p>
    <w:p>
      <w:pPr>
        <w:spacing w:before="0" w:after="0"/>
        <w:ind w:left="120"/>
        <w:jc w:val="both"/>
      </w:pPr>
      <w:r>
        <w:rPr>
          <w:rFonts w:ascii="Times New Roman" w:hAnsi="Times New Roman"/>
          <w:b/>
          <w:i w:val="false"/>
          <w:color w:val="000000"/>
          <w:sz w:val="22"/>
        </w:rPr>
        <w:t>283—17.1</w:t>
      </w:r>
      <w:r>
        <w:rPr>
          <w:rFonts w:ascii="Times New Roman" w:hAnsi="Times New Roman"/>
          <w:b/>
          <w:i w:val="false"/>
          <w:color w:val="000000"/>
          <w:sz w:val="22"/>
        </w:rPr>
        <w:t xml:space="preserve">(256)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“Award”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256.222</w:t>
        </w:r>
      </w:hyperlink>
      <w:r>
        <w:rPr>
          <w:rFonts w:ascii="Times New Roman" w:hAnsi="Times New Roman"/>
          <w:b w:val="false"/>
          <w:i w:val="false"/>
          <w:color w:val="000000"/>
          <w:sz w:val="22"/>
        </w:rPr>
        <w:t xml:space="preserve">. The applicant will select the award type on the initial application and may change that choice if a request is provided to the commission in writing.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applicant” </w:t>
      </w:r>
      <w:r>
        <w:rPr>
          <w:rFonts w:ascii="Times New Roman" w:hAnsi="Times New Roman"/>
          <w:b w:val="false"/>
          <w:i w:val="false"/>
          <w:color w:val="000000"/>
          <w:sz w:val="22"/>
        </w:rPr>
        <w:t xml:space="preserve">means an individual who is an eligible health care professional or agrees to become an eligible health care professional, agrees to sign a program agreement, has not received an award under Iowa Code section </w:t>
      </w:r>
      <w:hyperlink r:id="rId6">
        <w:r>
          <w:rPr>
            <w:rStyle w:val="Hyperlink"/>
            <w:rFonts w:ascii="Times New Roman" w:hAnsi="Times New Roman"/>
            <w:b w:val="false"/>
            <w:i w:val="false"/>
            <w:color w:val="000000"/>
            <w:sz w:val="22"/>
          </w:rPr>
          <w:t>256.222(4)</w:t>
        </w:r>
      </w:hyperlink>
      <w:r>
        <w:rPr>
          <w:rFonts w:ascii="Times New Roman" w:hAnsi="Times New Roman"/>
          <w:b w:val="false"/>
          <w:i w:val="false"/>
          <w:color w:val="000000"/>
          <w:sz w:val="22"/>
        </w:rPr>
        <w:t xml:space="preserve"> and agrees to complete the obligation. The eligible applicant completes applications on or before the date established by the commission.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program agreement specifies the obligation and other details pertaining to the program.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obligation is fulfilled by serving clients in eligible practice areas on a full-time basis for five consecutive years or on a part-time basis for seven consecutive years. Progression toward completion of the obligation is verified annually.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health care professional”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256.222</w:t>
        </w:r>
      </w:hyperlink>
      <w:r>
        <w:rPr>
          <w:rFonts w:ascii="Times New Roman" w:hAnsi="Times New Roman"/>
          <w:b w:val="false"/>
          <w:i w:val="false"/>
          <w:color w:val="000000"/>
          <w:sz w:val="22"/>
        </w:rPr>
        <w:t>. The eligible health care professional must be licensed or board-certified to practice as an eligible health care professional before the obligation begins.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practice area”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256.222</w:t>
        </w:r>
      </w:hyperlink>
      <w:r>
        <w:rPr>
          <w:rFonts w:ascii="Times New Roman" w:hAnsi="Times New Roman"/>
          <w:b w:val="false"/>
          <w:i w:val="false"/>
          <w:color w:val="000000"/>
          <w:sz w:val="22"/>
        </w:rPr>
        <w:t>. After an eligible applicant signs an agreement to practice in an eligible practice area, subsequent changes to eligible practice areas will not impact that applicant’s continued eligibility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“Part-time” </w:t>
      </w:r>
      <w:r>
        <w:rPr>
          <w:rFonts w:ascii="Times New Roman" w:hAnsi="Times New Roman"/>
          <w:b w:val="false"/>
          <w:i w:val="false"/>
          <w:color w:val="000000"/>
          <w:sz w:val="22"/>
        </w:rPr>
        <w:t>means an average of at least 30 hours, but fewer than 40 hours, per week.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0049D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283—17.2</w:t>
      </w:r>
      <w:r>
        <w:rPr>
          <w:rFonts w:ascii="Times New Roman" w:hAnsi="Times New Roman"/>
          <w:b/>
          <w:i w:val="false"/>
          <w:color w:val="000000"/>
          <w:sz w:val="22"/>
        </w:rPr>
        <w:t xml:space="preserve">(256) </w:t>
      </w:r>
      <w:r>
        <w:rPr>
          <w:rFonts w:ascii="Times New Roman" w:hAnsi="Times New Roman"/>
          <w:b/>
          <w:i w:val="false"/>
          <w:color w:val="000000"/>
          <w:sz w:val="22"/>
        </w:rPr>
        <w:t xml:space="preserve">Awarding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17.2(1)</w:t>
      </w:r>
      <w:r>
        <w:rPr>
          <w:rFonts w:ascii="Times New Roman" w:hAnsi="Times New Roman"/>
          <w:b w:val="false"/>
          <w:i w:val="false"/>
          <w:color w:val="000000"/>
          <w:sz w:val="22"/>
        </w:rPr>
        <w:t> </w:t>
      </w:r>
      <w:r>
        <w:rPr>
          <w:rFonts w:ascii="Times New Roman" w:hAnsi="Times New Roman"/>
          <w:b w:val="false"/>
          <w:i/>
          <w:color w:val="000000"/>
          <w:sz w:val="22"/>
        </w:rPr>
        <w:t xml:space="preserve">Award designations. </w:t>
      </w:r>
      <w:r>
        <w:rPr>
          <w:rFonts w:ascii="Times New Roman" w:hAnsi="Times New Roman"/>
          <w:b w:val="false"/>
          <w:i w:val="false"/>
          <w:color w:val="000000"/>
          <w:sz w:val="22"/>
        </w:rPr>
        <w:t>The commission will establish the number of awards and maximum award amounts for each eligible health care profession prior to the fiscal year in which applications will be accepted and awards obligated.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w:t>
      </w:r>
      <w:r>
        <w:rPr>
          <w:rFonts w:ascii="Times New Roman" w:hAnsi="Times New Roman"/>
          <w:b w:val="false"/>
          <w:i w:val="false"/>
          <w:color w:val="000000"/>
          <w:sz w:val="22"/>
        </w:rPr>
        <w:t> </w:t>
      </w:r>
      <w:r>
        <w:rPr>
          <w:rFonts w:ascii="Times New Roman" w:hAnsi="Times New Roman"/>
          <w:b w:val="false"/>
          <w:i/>
          <w:color w:val="000000"/>
          <w:sz w:val="22"/>
        </w:rPr>
        <w:t xml:space="preserve">Selection criteria. </w:t>
      </w:r>
      <w:r>
        <w:rPr>
          <w:rFonts w:ascii="Times New Roman" w:hAnsi="Times New Roman"/>
          <w:b w:val="false"/>
          <w:i w:val="false"/>
          <w:color w:val="000000"/>
          <w:sz w:val="22"/>
        </w:rPr>
        <w:t xml:space="preserve">All eligible applicants will be considered for an award. Awards will be prioritized within each eligible health care profession according to subrule </w:t>
      </w:r>
      <w:hyperlink r:id="rId9">
        <w:r>
          <w:rPr>
            <w:rStyle w:val="Hyperlink"/>
            <w:rFonts w:ascii="Times New Roman" w:hAnsi="Times New Roman"/>
            <w:b w:val="false"/>
            <w:i w:val="false"/>
            <w:color w:val="000000"/>
            <w:sz w:val="22"/>
          </w:rPr>
          <w:t>17.2(3)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17.2(3)</w:t>
      </w:r>
      <w:r>
        <w:rPr>
          <w:rFonts w:ascii="Times New Roman" w:hAnsi="Times New Roman"/>
          <w:b w:val="false"/>
          <w:i w:val="false"/>
          <w:color w:val="000000"/>
          <w:sz w:val="22"/>
        </w:rPr>
        <w:t> </w:t>
      </w:r>
      <w:r>
        <w:rPr>
          <w:rFonts w:ascii="Times New Roman" w:hAnsi="Times New Roman"/>
          <w:b w:val="false"/>
          <w:i/>
          <w:color w:val="000000"/>
          <w:sz w:val="22"/>
        </w:rPr>
        <w:t xml:space="preserve">Priority for awards. </w:t>
      </w:r>
      <w:r>
        <w:rPr>
          <w:rFonts w:ascii="Times New Roman" w:hAnsi="Times New Roman"/>
          <w:b w:val="false"/>
          <w:i w:val="false"/>
          <w:color w:val="000000"/>
          <w:sz w:val="22"/>
        </w:rPr>
        <w:t>If funding is insufficient to award all eligible applicants, new awards will be made to eligible applicants in order of the following priority categories: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Eligible applicants who are in their final year of a program of study or of a clinical or residency program that leads to their full license to practice on a full-time basis as an eligible health care professional in an eligible practice area. If funds are insufficient to award all eligible applicants meeting these criteria, eligible applicants will be further prioritized by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Eligible applicants who are fully licensed eligible health care professionals but who agree to continue or begin full-time practice as eligible health care professionals on a full-time basis in eligible practice areas within six months of signing a program agreement. If funds are insufficient to award all eligible applicants meeting these criteria, eligible applicants will be further prioritized by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Eligible applicants who are in their final year of a program of study or clinical or residency program that leads to their full license to practice on a part-time basis as an eligible health care professional in an eligible practice area. If funds are insufficient to award all eligible applicants meeting these criteria, eligible applicants will be further prioritized by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Eligible applicants who are fully licensed eligible health care professionals but who agree to continue or begin full-time practice as eligible health care professionals on a part-time basis in eligible practice areas within six months of signing a program agreement. If funds are insufficient to award all eligible applicants meeting these criteria, eligible applicants will be further prioritized by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17.2(4)</w:t>
      </w:r>
      <w:r>
        <w:rPr>
          <w:rFonts w:ascii="Times New Roman" w:hAnsi="Times New Roman"/>
          <w:b w:val="false"/>
          <w:i w:val="false"/>
          <w:color w:val="000000"/>
          <w:sz w:val="22"/>
        </w:rPr>
        <w:t> </w:t>
      </w:r>
      <w:r>
        <w:rPr>
          <w:rFonts w:ascii="Times New Roman" w:hAnsi="Times New Roman"/>
          <w:b w:val="false"/>
          <w:i/>
          <w:color w:val="000000"/>
          <w:sz w:val="22"/>
        </w:rPr>
        <w:t xml:space="preserve">Awarding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will provide notice of the eligibility criteria, the anticipated number of awards to be made in each eligible health care profession, the maximum award amount in each eligible health care profession and the application process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will collect applications, designate eligible applicants for awards and notify applicants of their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will track eligible applicants selected to receive awards through completion of their obligation. An obligation is satisfied if completed according to the criteria in Iowa Code section </w:t>
      </w:r>
      <w:hyperlink r:id="rId10">
        <w:r>
          <w:rPr>
            <w:rStyle w:val="Hyperlink"/>
            <w:rFonts w:ascii="Times New Roman" w:hAnsi="Times New Roman"/>
            <w:b w:val="false"/>
            <w:i w:val="false"/>
            <w:color w:val="000000"/>
            <w:sz w:val="22"/>
          </w:rPr>
          <w:t>256.222</w:t>
        </w:r>
      </w:hyperlink>
      <w:r>
        <w:rPr>
          <w:rFonts w:ascii="Times New Roman" w:hAnsi="Times New Roman"/>
          <w:b w:val="false"/>
          <w:i w:val="false"/>
          <w:color w:val="000000"/>
          <w:sz w:val="22"/>
        </w:rPr>
        <w:t xml:space="preserve">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verifying completion of the obligation with the eligible health care professional’s employer on an annual basis, the commission will pay the annual award.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0049D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256.222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0049D</w:t>
      </w:r>
      <w:r>
        <w:rPr>
          <w:rFonts w:ascii="Times New Roman" w:hAnsi="Times New Roman"/>
          <w:b w:val="false"/>
          <w:i w:val="false"/>
          <w:color w:val="000000"/>
          <w:sz w:val="21"/>
        </w:rPr>
        <w:t xml:space="preserve"> (Notice ARC 9767C, IAB 11/26/25)</w:t>
      </w:r>
      <w:r>
        <w:rPr>
          <w:rFonts w:ascii="Times New Roman" w:hAnsi="Times New Roman"/>
          <w:b w:val="false"/>
          <w:i w:val="false"/>
          <w:color w:val="000000"/>
          <w:sz w:val="21"/>
        </w:rPr>
        <w:t>, IAB 2/4/26, effective 3/11/26]</w:t>
      </w:r>
    </w:p>
    <w:sectPr>
      <w:footerReference r:id="rId12"/>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222.pdf" Type="http://schemas.openxmlformats.org/officeDocument/2006/relationships/hyperlink" Id="rId5"/>
    <Relationship TargetMode="External" Target="https://www.legis.iowa.gov/docs/ico/chapter/256.222.pdf" Type="http://schemas.openxmlformats.org/officeDocument/2006/relationships/hyperlink" Id="rId6"/>
    <Relationship TargetMode="External" Target="https://www.legis.iowa.gov/docs/ico/chapter/256.222.pdf" Type="http://schemas.openxmlformats.org/officeDocument/2006/relationships/hyperlink" Id="rId7"/>
    <Relationship TargetMode="External" Target="https://www.legis.iowa.gov/docs/ico/chapter/256.222.pdf" Type="http://schemas.openxmlformats.org/officeDocument/2006/relationships/hyperlink" Id="rId8"/>
    <Relationship TargetMode="External" Target="https://www.legis.iowa.gov/docs/iac/rule/283.17.2.pdf" Type="http://schemas.openxmlformats.org/officeDocument/2006/relationships/hyperlink" Id="rId9"/>
    <Relationship TargetMode="External" Target="https://www.legis.iowa.gov/docs/ico/chapter/256.222.pdf" Type="http://schemas.openxmlformats.org/officeDocument/2006/relationships/hyperlink" Id="rId10"/>
    <Relationship TargetMode="External" Target="https://www.legis.iowa.gov/docs/ico/chapter/256.222.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