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FUTURE READY IOWA SKILLED WORKFORCE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11/17/28</w:t>
      </w:r>
    </w:p>
    <w:p>
      <w:pPr>
        <w:spacing w:before="0" w:after="0"/>
        <w:ind w:left="120"/>
        <w:jc w:val="both"/>
      </w:pPr>
      <w:r>
        <w:rPr>
          <w:rFonts w:ascii="Times New Roman" w:hAnsi="Times New Roman"/>
          <w:b/>
          <w:i w:val="false"/>
          <w:color w:val="000000"/>
          <w:sz w:val="22"/>
        </w:rPr>
        <w:t>283—16.1</w:t>
      </w:r>
      <w:r>
        <w:rPr>
          <w:rFonts w:ascii="Times New Roman" w:hAnsi="Times New Roman"/>
          <w:b/>
          <w:i w:val="false"/>
          <w:color w:val="000000"/>
          <w:sz w:val="22"/>
        </w:rPr>
        <w:t xml:space="preserve">(261) </w:t>
      </w:r>
      <w:r>
        <w:rPr>
          <w:rFonts w:ascii="Times New Roman" w:hAnsi="Times New Roman"/>
          <w:b/>
          <w:i w:val="false"/>
          <w:color w:val="000000"/>
          <w:sz w:val="22"/>
        </w:rPr>
        <w:t xml:space="preserve">Basis for aid. </w:t>
      </w:r>
      <w:r>
        <w:rPr>
          <w:rFonts w:ascii="Times New Roman" w:hAnsi="Times New Roman"/>
          <w:b w:val="false"/>
          <w:i w:val="false"/>
          <w:color w:val="000000"/>
          <w:sz w:val="22"/>
        </w:rPr>
        <w:t>Assistance available under the future ready Iowa skilled workforce grant program is for Iowa residents who are aged 25 or older and are enrolled in approved programs aligned with high-demand jobs.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283—16.2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 xml:space="preserve">means an eligible program of study as defined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xml:space="preserve"> that is approved through the process described in </w:t>
      </w:r>
      <w:hyperlink r:id="rId6">
        <w:r>
          <w:rPr>
            <w:rStyle w:val="Hyperlink"/>
            <w:rFonts w:ascii="Times New Roman" w:hAnsi="Times New Roman"/>
            <w:b w:val="false"/>
            <w:i w:val="false"/>
            <w:color w:val="000000"/>
            <w:sz w:val="22"/>
          </w:rPr>
          <w:t>283—16.6(261)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enrollment” </w:t>
      </w:r>
      <w:r>
        <w:rPr>
          <w:rFonts w:ascii="Times New Roman" w:hAnsi="Times New Roman"/>
          <w:b w:val="false"/>
          <w:i w:val="false"/>
          <w:color w:val="000000"/>
          <w:sz w:val="22"/>
        </w:rPr>
        <w:t>means an eligible student is enrolled on a full-time or part-time basis in successive fall and spring semesters, or the equivalent, after receiving the award. Enrollment in the summer semester is not required to meet this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meets the criteria in Iowa Code section </w:t>
      </w:r>
      <w:hyperlink r:id="rId7">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 xml:space="preserve"> and the provisions of </w:t>
      </w:r>
      <w:hyperlink r:id="rId8">
        <w:r>
          <w:rPr>
            <w:rStyle w:val="Hyperlink"/>
            <w:rFonts w:ascii="Times New Roman" w:hAnsi="Times New Roman"/>
            <w:b w:val="false"/>
            <w:i w:val="false"/>
            <w:color w:val="000000"/>
            <w:sz w:val="22"/>
          </w:rPr>
          <w:t>283—16.7(261)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w:t>
      </w:r>
      <w:hyperlink r:id="rId9">
        <w:r>
          <w:rPr>
            <w:rStyle w:val="Hyperlink"/>
            <w:rFonts w:ascii="Times New Roman" w:hAnsi="Times New Roman"/>
            <w:b w:val="false"/>
            <w:i w:val="false"/>
            <w:color w:val="000000"/>
            <w:sz w:val="22"/>
          </w:rPr>
          <w:t>283—10.2(261)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w:t>
      </w:r>
      <w:hyperlink r:id="rId10">
        <w:r>
          <w:rPr>
            <w:rStyle w:val="Hyperlink"/>
            <w:rFonts w:ascii="Times New Roman" w:hAnsi="Times New Roman"/>
            <w:b w:val="false"/>
            <w:i w:val="false"/>
            <w:color w:val="000000"/>
            <w:sz w:val="22"/>
          </w:rPr>
          <w:t>283—10.2(261)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enrollment in at least 6 but less than 12 hours per semester, or the equivalent. An eligible student may enroll in fewer than six semester hours, or the equivalent, in the semester that the credential will be completed if part-time enrollment is not required to complete the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283—10.2(261)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“Semester” </w:t>
      </w:r>
      <w:r>
        <w:rPr>
          <w:rFonts w:ascii="Times New Roman" w:hAnsi="Times New Roman"/>
          <w:b w:val="false"/>
          <w:i w:val="false"/>
          <w:color w:val="000000"/>
          <w:sz w:val="22"/>
        </w:rPr>
        <w:t>means the fall, spring, or summer term of enrollment at an eligible institution, if the eligible institution is on a semester system, or the equivalent, if the institution is on a system other than a semester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283—16.3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is enrolled full-time or part-time in an approved program at an eligible institution and who meets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Annually completes the applications the college student aid commission (commission) deems necessary on or before the date established by the commission and attends orientation, registers for classes with an academic advisor, and participates in career advising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satisfactory academic progress standards, does not meet a condition in </w:t>
      </w:r>
      <w:hyperlink r:id="rId12">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 and upon receipt of the grant, maintains continuous full-time or part-time enrollment during successive fall and spring semesters.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aged 25 or older as of July 1 prior to the year of enrollment.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283—16.4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Eligible applicants may receive no more than the equivalent of four full-time awards. The maximum award will be established annually by the commission but will not be less than $1,000 for a full-time student over the course of the fall and spring semesters.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In the event that funds available are insufficient to provide maximum awards to all eligible applicants, awards are prioritized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received the grant in the prior state fiscal year,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did not receive the grant in the prior state fiscal year,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eligible institutions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eligible institutions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apply awards directly to student accounts to cover items included in the cost of attendance, as defined in Title IV of the federal Higher Education Act of 1965, as of July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program of study, and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complete necessary verification and coordinate other aid to ensure compliance with student eligibility requirements and allowable award amounts. Eligible institutions will report changes in student eligibility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3">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283—16.5</w:t>
      </w:r>
      <w:r>
        <w:rPr>
          <w:rFonts w:ascii="Times New Roman" w:hAnsi="Times New Roman"/>
          <w:b/>
          <w:i w:val="false"/>
          <w:color w:val="000000"/>
          <w:sz w:val="22"/>
        </w:rPr>
        <w:t xml:space="preserve">(261) </w:t>
      </w:r>
      <w:r>
        <w:rPr>
          <w:rFonts w:ascii="Times New Roman" w:hAnsi="Times New Roman"/>
          <w:b/>
          <w:i w:val="false"/>
          <w:color w:val="000000"/>
          <w:sz w:val="22"/>
        </w:rPr>
        <w:t xml:space="preserve">Exceptions. </w:t>
      </w:r>
      <w:r>
        <w:rPr>
          <w:rFonts w:ascii="Times New Roman" w:hAnsi="Times New Roman"/>
          <w:b w:val="false"/>
          <w:i w:val="false"/>
          <w:color w:val="000000"/>
          <w:sz w:val="22"/>
        </w:rPr>
        <w:t>If an eligible applicant discontinues enrollment at the eligible institution due to military deployment, a temporary medical incapacity, in relation to a declaration of a national or state emergency, or other exceptional circumstances approved by the commission, the eligible applicant may apply for a waiver. If the waiver is approved, the eligible applicant is not required to maintain continuous enrollment during the period covered by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283—16.6</w:t>
      </w:r>
      <w:r>
        <w:rPr>
          <w:rFonts w:ascii="Times New Roman" w:hAnsi="Times New Roman"/>
          <w:b/>
          <w:i w:val="false"/>
          <w:color w:val="000000"/>
          <w:sz w:val="22"/>
        </w:rPr>
        <w:t xml:space="preserve">(261) </w:t>
      </w:r>
      <w:r>
        <w:rPr>
          <w:rFonts w:ascii="Times New Roman" w:hAnsi="Times New Roman"/>
          <w:b/>
          <w:i w:val="false"/>
          <w:color w:val="000000"/>
          <w:sz w:val="22"/>
        </w:rPr>
        <w:t xml:space="preserve">Determination of programs of study aligned with high-demand jobs.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High-demand jobs. </w:t>
      </w:r>
      <w:r>
        <w:rPr>
          <w:rFonts w:ascii="Times New Roman" w:hAnsi="Times New Roman"/>
          <w:b w:val="false"/>
          <w:i w:val="false"/>
          <w:color w:val="000000"/>
          <w:sz w:val="22"/>
        </w:rPr>
        <w:t xml:space="preserve">The commission will utilize the department of workforce development’s most recent list of statewide high-demand jobs pursuant to Iowa Code section </w:t>
      </w:r>
      <w:hyperlink r:id="rId14">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and align those jobs to eligible programs of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Eligible programs of study. </w:t>
      </w:r>
      <w:r>
        <w:rPr>
          <w:rFonts w:ascii="Times New Roman" w:hAnsi="Times New Roman"/>
          <w:b w:val="false"/>
          <w:i w:val="false"/>
          <w:color w:val="000000"/>
          <w:sz w:val="22"/>
        </w:rPr>
        <w:t>The eligible institution will offer a baccalaureate degree that is aligned with a high-demand job. The classification of instructional program code and the standard occupation code will be used to align eligible programs of study to high-demand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Eligible institutions will designate the eligible programs of study offered in the corresponding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w:t>
      </w: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 xml:space="preserve">Before an eligible program of study is considered an approved program of study, the department of workforce development and the commission will jointly certify that the program of study is aligned with a high-demand job pursuant to Iowa Code section </w:t>
      </w:r>
      <w:hyperlink r:id="rId15">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16.6(5)</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 xml:space="preserve">If the state workforce development board removes a high-demand job from a list created pursuant to Iowa Code section </w:t>
      </w:r>
      <w:hyperlink r:id="rId16">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an eligible applicant who received an award in a program of study aligned with that high-demand job will continue to receive the award as long as the eligible applicant continues to meet all other eligibility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283—16.7</w:t>
      </w:r>
      <w:r>
        <w:rPr>
          <w:rFonts w:ascii="Times New Roman" w:hAnsi="Times New Roman"/>
          <w:b/>
          <w:i w:val="false"/>
          <w:color w:val="000000"/>
          <w:sz w:val="22"/>
        </w:rPr>
        <w:t xml:space="preserve">(261) </w:t>
      </w:r>
      <w:r>
        <w:rPr>
          <w:rFonts w:ascii="Times New Roman" w:hAnsi="Times New Roman"/>
          <w:b/>
          <w:i w:val="false"/>
          <w:color w:val="000000"/>
          <w:sz w:val="22"/>
        </w:rPr>
        <w:t xml:space="preserve">Institution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An institution requesting to participate in the program may apply to the commission using the commission’s designated application. An applicant institution will provide the commission with documentation establishing the applicant institution’s eligibility as an eligible institution that offers eligible programs of study. Applicant institutions will submit the application and documentation establishing the applicant institution’s eligibility before October 1 of the year prior to the beginning of the academic year for which the applicant institution is applying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A list of all eligible programs of study, as well as the necessary courses and the suggested course sequence, will be available in a prominent location on the eligible institution’s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4608C</w:t>
      </w:r>
      <w:r>
        <w:rPr>
          <w:rFonts w:ascii="Times New Roman" w:hAnsi="Times New Roman"/>
          <w:b w:val="false"/>
          <w:i w:val="false"/>
          <w:color w:val="000000"/>
          <w:sz w:val="21"/>
        </w:rPr>
        <w:t xml:space="preserve"> (Notice ARC 4473C, IAB 6/5/19)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Emergency After Notice ARC 7130C</w:t>
      </w:r>
      <w:r>
        <w:rPr>
          <w:rFonts w:ascii="Times New Roman" w:hAnsi="Times New Roman"/>
          <w:b w:val="false"/>
          <w:i w:val="false"/>
          <w:color w:val="000000"/>
          <w:sz w:val="21"/>
        </w:rPr>
        <w:t xml:space="preserve"> (Notice ARC 7100C, IAB 10/4/23)</w:t>
      </w:r>
      <w:r>
        <w:rPr>
          <w:rFonts w:ascii="Times New Roman" w:hAnsi="Times New Roman"/>
          <w:b w:val="false"/>
          <w:i w:val="false"/>
          <w:color w:val="000000"/>
          <w:sz w:val="21"/>
        </w:rPr>
        <w:t>, IAB 12/13/23, effective 11/17/23]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ac/rule/283.16.6.pdf" Type="http://schemas.openxmlformats.org/officeDocument/2006/relationships/hyperlink" Id="rId6"/>
    <Relationship TargetMode="External" Target="https://www.legis.iowa.gov/docs/ico/chapter/261.132.pdf" Type="http://schemas.openxmlformats.org/officeDocument/2006/relationships/hyperlink" Id="rId7"/>
    <Relationship TargetMode="External" Target="https://www.legis.iowa.gov/docs/iac/rule/283.16.7.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10.3.pdf" Type="http://schemas.openxmlformats.org/officeDocument/2006/relationships/hyperlink" Id="rId12"/>
    <Relationship TargetMode="External" Target="https://www.legis.iowa.gov/docs/ico/chapter/261.132.pdf" Type="http://schemas.openxmlformats.org/officeDocument/2006/relationships/hyperlink" Id="rId13"/>
    <Relationship TargetMode="External" Target="https://www.legis.iowa.gov/docs/ico/chapter/84A.1B.pdf" Type="http://schemas.openxmlformats.org/officeDocument/2006/relationships/hyperlink" Id="rId14"/>
    <Relationship TargetMode="External" Target="https://www.legis.iowa.gov/docs/ico/chapter/84A.1B.pdf" Type="http://schemas.openxmlformats.org/officeDocument/2006/relationships/hyperlink" Id="rId15"/>
    <Relationship TargetMode="External" Target="https://www.legis.iowa.gov/docs/ico/chapter/84A.1B.pdf" Type="http://schemas.openxmlformats.org/officeDocument/2006/relationships/hyperlink" Id="rId16"/>
    <Relationship TargetMode="External" Target="https://www.legis.iowa.gov/docs/ico/chapter/261.132.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