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 xml:space="preserve">FUTURE READY IOWA SKILLED WORKFORCE </w:t>
      </w:r>
      <w:r>
        <w:br/>
      </w:r>
      <w:r>
        <w:rPr>
          <w:rFonts w:ascii="Times New Roman" w:hAnsi="Times New Roman"/>
          <w:b w:val="false"/>
          <w:i w:val="false"/>
          <w:color w:val="000000"/>
          <w:sz w:val="21"/>
        </w:rPr>
        <w:t>LAST-DOLLAR SCHOLARSHIP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283—15.1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for aid. </w:t>
      </w:r>
      <w:r>
        <w:rPr>
          <w:rFonts w:ascii="Times New Roman" w:hAnsi="Times New Roman"/>
          <w:b w:val="false"/>
          <w:i w:val="false"/>
          <w:color w:val="000000"/>
          <w:sz w:val="22"/>
        </w:rPr>
        <w:t>Assistance under the future ready Iowa skilled workforce last-dollar scholarship program is available for Iowa residents enrolled in approved programs aligned with high-demand jobs.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9583C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 xml:space="preserve">means an eligible program of study approved through the process described in rule </w:t>
      </w:r>
      <w:hyperlink r:id="rId5">
        <w:r>
          <w:rPr>
            <w:rStyle w:val="Hyperlink"/>
            <w:rFonts w:ascii="Times New Roman" w:hAnsi="Times New Roman"/>
            <w:b w:val="false"/>
            <w:i w:val="false"/>
            <w:color w:val="000000"/>
            <w:sz w:val="22"/>
          </w:rPr>
          <w:t>283—15.6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enrollment” </w:t>
      </w:r>
      <w:r>
        <w:rPr>
          <w:rFonts w:ascii="Times New Roman" w:hAnsi="Times New Roman"/>
          <w:b w:val="false"/>
          <w:i w:val="false"/>
          <w:color w:val="000000"/>
          <w:sz w:val="22"/>
        </w:rPr>
        <w:t>means that an eligible student is enrolled at least part-time in successive fall and spring semesters, or the equivalent, after receiving the award. Enrollment in the summer semester is not required to meet this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“Credential”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256.228(1)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institution that meets the criteria in Iowa Code section </w:t>
      </w:r>
      <w:hyperlink r:id="rId7">
        <w:r>
          <w:rPr>
            <w:rStyle w:val="Hyperlink"/>
            <w:rFonts w:ascii="Times New Roman" w:hAnsi="Times New Roman"/>
            <w:b w:val="false"/>
            <w:i w:val="false"/>
            <w:color w:val="000000"/>
            <w:sz w:val="22"/>
          </w:rPr>
          <w:t>256.228(1)</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the provisions of rule </w:t>
      </w:r>
      <w:hyperlink r:id="rId8">
        <w:r>
          <w:rPr>
            <w:rStyle w:val="Hyperlink"/>
            <w:rFonts w:ascii="Times New Roman" w:hAnsi="Times New Roman"/>
            <w:b w:val="false"/>
            <w:i w:val="false"/>
            <w:color w:val="000000"/>
            <w:sz w:val="22"/>
          </w:rPr>
          <w:t>283—15.7</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enrollment in at least 6 but fewer than 12 hours per semester or the equivalent. An eligible student may enroll in fewer than six semester hours, or the equivalent, in the semester that the credential will be completed if part-time enrollment is not necessary to complete the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“Semester” </w:t>
      </w:r>
      <w:r>
        <w:rPr>
          <w:rFonts w:ascii="Times New Roman" w:hAnsi="Times New Roman"/>
          <w:b w:val="false"/>
          <w:i w:val="false"/>
          <w:color w:val="000000"/>
          <w:sz w:val="22"/>
        </w:rPr>
        <w:t>means the fall, spring, or summer term of enrollment at an eligible institution, if the eligible institution is on a semester system, or the equivalent, if the institution is on a system other than a semester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9583C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who is enrolled at least part-time in an approved program at an eligible institution and who meets the program eligibility criteria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Annually completes the applications that the commission deems necessary on or before the date established by the commission, attends orientation, registers for classes with an academic advisor, and participates in career advising sessions.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 xml:space="preserve">Has an eligible financial metric in the first year the scholarship is received, meets satisfactory academic progress standards, and does not meet a condition in </w:t>
      </w:r>
      <w:hyperlink r:id="rId13">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val="false"/>
          <w:color w:val="000000"/>
          <w:sz w:val="22"/>
        </w:rPr>
        <w:t>Maintains continuous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val="false"/>
          <w:color w:val="000000"/>
          <w:sz w:val="22"/>
        </w:rPr>
        <w:t>Meets one of the following two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under age 20 as of July 1 prior to the year of enrollment and enrolls at least part-time following graduation from an Iowa high school, completion of private instruction under Iowa Code chapter </w:t>
      </w:r>
      <w:hyperlink r:id="rId1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or receipt of a high school equivalency diploma under Iowa Code chapter </w:t>
      </w:r>
      <w:hyperlink r:id="rId15">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receipt of a high school diploma or high school equivalency diploma, enrolls at least part-time in an approved program at an eligible institution after attaining the age of 20 as of July 1 prior to the year of enrollment. To receive an award under this condition, the eligible applicant cannot have received an award under </w:t>
      </w:r>
      <w:hyperlink r:id="rId16">
        <w:r>
          <w:rPr>
            <w:rStyle w:val="Hyperlink"/>
            <w:rFonts w:ascii="Times New Roman" w:hAnsi="Times New Roman"/>
            <w:b w:val="false"/>
            <w:i w:val="false"/>
            <w:color w:val="000000"/>
            <w:sz w:val="22"/>
          </w:rPr>
          <w:t>paragraph 15.3(4)</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9583C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Eligible applicants may receive no more than the equivalent of eight part-time awards. The maximum award will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Awards for eligible students attending Iowa community colleges shall not exceed the remaining tuition and mandatory institutionwide fees after applying federal and state nonrepayable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Awards for eligible students attending an accredited private institution as defined in Iowa Code section </w:t>
      </w:r>
      <w:hyperlink r:id="rId17">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 xml:space="preserve"> shall not exceed the average tuition and mandatory institutionwide fees at Iowa community colleges after applying federal and state nonrepayable aid. The average resident tuition and mandatory institutionwide fees will be used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Awards for eligible students enrolled on a full-time basis shall be at least $250 per semester or the equivalent amount if the eligible institution operates on a system other than the semester system. Awards for eligible students enrolled on a part-time basis will be prorated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Tuition and institutionwide mandatory fees associated only with coursework required for the student’s Title IV-eligible program of study can be used to determine the award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that the funds available are insufficient to provide maximum awards to all eligible applicants through the entire state fiscal year, awards will first be authorized to eligible applicants enrolled in the fall and spring semester or the equivalent and then to eligible applicants enrolled in the summer semester or the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that funds available are insufficient to provide the maximum award to all eligible applicants in a semester, the commission may prorate awards to students in that semester.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eligible institutions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eligible institutions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apply awards directly to student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provide information about eligible applicants to the commission in a format specified by the commission. Eligible institutions will make necessary changes to awards due to a change in enrollment, program of study, and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Eligible institutions are responsible for completing necessary verification and for coordinating other aid to ensure compliance with student eligibility requirements and allowable award amounts. Eligible institutions will report changes in student eligibility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periodically investigate and review compliance of eligible institutions participating in this program with the criteria established in Iowa Code section </w:t>
      </w:r>
      <w:hyperlink r:id="rId18">
        <w:r>
          <w:rPr>
            <w:rStyle w:val="Hyperlink"/>
            <w:rFonts w:ascii="Times New Roman" w:hAnsi="Times New Roman"/>
            <w:b w:val="false"/>
            <w:i w:val="false"/>
            <w:color w:val="000000"/>
            <w:sz w:val="22"/>
          </w:rPr>
          <w:t>256.228</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9583C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283—15.5</w:t>
      </w:r>
      <w:r>
        <w:rPr>
          <w:rFonts w:ascii="Times New Roman" w:hAnsi="Times New Roman"/>
          <w:b/>
          <w:i w:val="false"/>
          <w:color w:val="000000"/>
          <w:sz w:val="22"/>
        </w:rPr>
        <w:t xml:space="preserve">(256) </w:t>
      </w:r>
      <w:r>
        <w:rPr>
          <w:rFonts w:ascii="Times New Roman" w:hAnsi="Times New Roman"/>
          <w:b/>
          <w:i w:val="false"/>
          <w:color w:val="000000"/>
          <w:sz w:val="22"/>
        </w:rPr>
        <w:t xml:space="preserve">Exceptions. </w:t>
      </w:r>
      <w:r>
        <w:rPr>
          <w:rFonts w:ascii="Times New Roman" w:hAnsi="Times New Roman"/>
          <w:b w:val="false"/>
          <w:i w:val="false"/>
          <w:color w:val="000000"/>
          <w:sz w:val="22"/>
        </w:rPr>
        <w:t>If an eligible applicant discontinues enrollment at the eligible institution due to military deployment, due to a temporary medical incapacity, in relation to a declaration of a national or state emergency, or due to other exceptional circumstances approved by the commission, the eligible applicant may apply for a waiver. If the waiver is approved, the eligible applicant is not required to maintain continuous enrollment during the period covered by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9583C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283—15.6</w:t>
      </w:r>
      <w:r>
        <w:rPr>
          <w:rFonts w:ascii="Times New Roman" w:hAnsi="Times New Roman"/>
          <w:b/>
          <w:i w:val="false"/>
          <w:color w:val="000000"/>
          <w:sz w:val="22"/>
        </w:rPr>
        <w:t xml:space="preserve">(256) </w:t>
      </w:r>
      <w:r>
        <w:rPr>
          <w:rFonts w:ascii="Times New Roman" w:hAnsi="Times New Roman"/>
          <w:b/>
          <w:i w:val="false"/>
          <w:color w:val="000000"/>
          <w:sz w:val="22"/>
        </w:rPr>
        <w:t xml:space="preserve">Determination of programs of study aligned with high-demand jobs.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Statewide high-demand jobs. </w:t>
      </w:r>
      <w:r>
        <w:rPr>
          <w:rFonts w:ascii="Times New Roman" w:hAnsi="Times New Roman"/>
          <w:b w:val="false"/>
          <w:i w:val="false"/>
          <w:color w:val="000000"/>
          <w:sz w:val="22"/>
        </w:rPr>
        <w:t xml:space="preserve">The commission will utilize the department of workforce development’s most recent list of statewide high-demand jobs pursuant to Iowa Code section </w:t>
      </w:r>
      <w:hyperlink r:id="rId19">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xml:space="preserve"> and align those jobs to eligible programs of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Regional high-demand jobs. </w:t>
      </w:r>
      <w:r>
        <w:rPr>
          <w:rFonts w:ascii="Times New Roman" w:hAnsi="Times New Roman"/>
          <w:b w:val="false"/>
          <w:i w:val="false"/>
          <w:color w:val="000000"/>
          <w:sz w:val="22"/>
        </w:rPr>
        <w:t>The commission will request submissions of regional high-demand jobs that align with eligible programs of study from each Iowa community college. Each Iowa community college may request up to five regional high-demand jobs to be considered for approval for students at that Iowa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color w:val="000000"/>
          <w:sz w:val="22"/>
        </w:rPr>
        <w:t xml:space="preserve">Eligible programs of study. </w:t>
      </w:r>
      <w:r>
        <w:rPr>
          <w:rFonts w:ascii="Times New Roman" w:hAnsi="Times New Roman"/>
          <w:b w:val="false"/>
          <w:i w:val="false"/>
          <w:color w:val="000000"/>
          <w:sz w:val="22"/>
        </w:rPr>
        <w:t xml:space="preserve">The eligible institution will offer a career and technical education program of study that results in a credential that is aligned with employment in a high-demand job. The eligible program of study will meet similar criteria established for career and technical education programs approved under </w:t>
      </w:r>
      <w:hyperlink r:id="rId20">
        <w:r>
          <w:rPr>
            <w:rStyle w:val="Hyperlink"/>
            <w:rFonts w:ascii="Times New Roman" w:hAnsi="Times New Roman"/>
            <w:b w:val="false"/>
            <w:i w:val="false"/>
            <w:color w:val="000000"/>
            <w:sz w:val="22"/>
          </w:rPr>
          <w:t>281—Chapter 21</w:t>
        </w:r>
      </w:hyperlink>
      <w:r>
        <w:rPr>
          <w:rFonts w:ascii="Times New Roman" w:hAnsi="Times New Roman"/>
          <w:b w:val="false"/>
          <w:i w:val="false"/>
          <w:color w:val="000000"/>
          <w:sz w:val="22"/>
        </w:rPr>
        <w:t>. The classification of the instructional program code and the standard occupation code will be used to align eligible programs of study to high-demand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w:t>
      </w: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 xml:space="preserve">Before an eligible program of study is considered an approved program of study, the department of workforce development and the commission, in consultation with the department of education, will jointly certify that the program of study and credential are aligned with a high-demand job pursuant to Iowa Code section </w:t>
      </w:r>
      <w:hyperlink r:id="rId21">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If the state workforce development board or a community college district removes a high-demand job from the approved list, an eligible applicant who received an award in a program of study aligned with that high-demand job will continue to receive the award as long as the eligible applicant continues to meet all other eligibility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9583C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283—15.7</w:t>
      </w:r>
      <w:r>
        <w:rPr>
          <w:rFonts w:ascii="Times New Roman" w:hAnsi="Times New Roman"/>
          <w:b/>
          <w:i w:val="false"/>
          <w:color w:val="000000"/>
          <w:sz w:val="22"/>
        </w:rPr>
        <w:t xml:space="preserve">(256) </w:t>
      </w:r>
      <w:r>
        <w:rPr>
          <w:rFonts w:ascii="Times New Roman" w:hAnsi="Times New Roman"/>
          <w:b/>
          <w:i w:val="false"/>
          <w:color w:val="000000"/>
          <w:sz w:val="22"/>
        </w:rPr>
        <w:t xml:space="preserve">Institution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An institution requesting to participate in the program may apply to the commission using the commission’s designated application. An applicant institution will provide the commission with documentation establishing its eligibility as an eligible institution that offers eligible programs of study. Applicant institutions will submit the application and documentation establishing their eligibility on or before October 1 of the year prior to the beginning of the academic year for which they are applying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A list of all eligible programs of study, as well as the necessary courses and the suggested course sequence, will be available in a prominent location on the eligible institution’s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9583C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2">
        <w:r>
          <w:rPr>
            <w:rStyle w:val="Hyperlink"/>
            <w:rFonts w:ascii="Times New Roman" w:hAnsi="Times New Roman"/>
            <w:b w:val="false"/>
            <w:i w:val="false"/>
            <w:color w:val="000000"/>
            <w:sz w:val="22"/>
          </w:rPr>
          <w:t>256.228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4607C</w:t>
      </w:r>
      <w:r>
        <w:rPr>
          <w:rFonts w:ascii="Times New Roman" w:hAnsi="Times New Roman"/>
          <w:b w:val="false"/>
          <w:i w:val="false"/>
          <w:color w:val="000000"/>
          <w:sz w:val="21"/>
        </w:rPr>
        <w:t xml:space="preserve"> (Notice ARC 4474C, IAB 6/5/19)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5223C</w:t>
      </w:r>
      <w:r>
        <w:rPr>
          <w:rFonts w:ascii="Times New Roman" w:hAnsi="Times New Roman"/>
          <w:b w:val="false"/>
          <w:i w:val="false"/>
          <w:color w:val="000000"/>
          <w:sz w:val="21"/>
        </w:rPr>
        <w:t xml:space="preserve"> (Notice ARC 5125C, IAB 8/12/20)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6730C</w:t>
      </w:r>
      <w:r>
        <w:rPr>
          <w:rFonts w:ascii="Times New Roman" w:hAnsi="Times New Roman"/>
          <w:b w:val="false"/>
          <w:i w:val="false"/>
          <w:color w:val="000000"/>
          <w:sz w:val="21"/>
        </w:rPr>
        <w:t xml:space="preserve"> (Notice ARC 6479C,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9583C</w:t>
      </w:r>
      <w:r>
        <w:rPr>
          <w:rFonts w:ascii="Times New Roman" w:hAnsi="Times New Roman"/>
          <w:b w:val="false"/>
          <w:i w:val="false"/>
          <w:color w:val="000000"/>
          <w:sz w:val="21"/>
        </w:rPr>
        <w:t xml:space="preserve"> (Notice ARC 9387C, IAB 7/9/25)</w:t>
      </w:r>
      <w:r>
        <w:rPr>
          <w:rFonts w:ascii="Times New Roman" w:hAnsi="Times New Roman"/>
          <w:b w:val="false"/>
          <w:i w:val="false"/>
          <w:color w:val="000000"/>
          <w:sz w:val="21"/>
        </w:rPr>
        <w:t>, IAB 10/1/25, effective 11/5/25]</w:t>
      </w:r>
    </w:p>
    <w:sectPr>
      <w:footerReference r:id="rId23"/>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3.15.6.pdf" Type="http://schemas.openxmlformats.org/officeDocument/2006/relationships/hyperlink" Id="rId5"/>
    <Relationship TargetMode="External" Target="https://www.legis.iowa.gov/docs/ico/chapter/256.228.pdf" Type="http://schemas.openxmlformats.org/officeDocument/2006/relationships/hyperlink" Id="rId6"/>
    <Relationship TargetMode="External" Target="https://www.legis.iowa.gov/docs/ico/chapter/256.228.pdf" Type="http://schemas.openxmlformats.org/officeDocument/2006/relationships/hyperlink" Id="rId7"/>
    <Relationship TargetMode="External" Target="https://www.legis.iowa.gov/docs/iac/rule/283.15.7.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ac/rule/283.10.2.pdf" Type="http://schemas.openxmlformats.org/officeDocument/2006/relationships/hyperlink" Id="rId12"/>
    <Relationship TargetMode="External" Target="https://www.legis.iowa.gov/docs/iac/rule/283.10.3.pdf" Type="http://schemas.openxmlformats.org/officeDocument/2006/relationships/hyperlink" Id="rId13"/>
    <Relationship TargetMode="External" Target="https://www.legis.iowa.gov/docs/ico/chapter/299A.pdf" Type="http://schemas.openxmlformats.org/officeDocument/2006/relationships/hyperlink" Id="rId14"/>
    <Relationship TargetMode="External" Target="https://www.legis.iowa.gov/docs/ico/chapter/259A.pdf" Type="http://schemas.openxmlformats.org/officeDocument/2006/relationships/hyperlink" Id="rId15"/>
    <Relationship TargetMode="External" Target="https://www.legis.iowa.gov/docs/iac/rule/283.15.3.pdf" Type="http://schemas.openxmlformats.org/officeDocument/2006/relationships/hyperlink" Id="rId16"/>
    <Relationship TargetMode="External" Target="https://www.legis.iowa.gov/docs/ico/chapter/256.183.pdf" Type="http://schemas.openxmlformats.org/officeDocument/2006/relationships/hyperlink" Id="rId17"/>
    <Relationship TargetMode="External" Target="https://www.legis.iowa.gov/docs/ico/chapter/256.228.pdf" Type="http://schemas.openxmlformats.org/officeDocument/2006/relationships/hyperlink" Id="rId18"/>
    <Relationship TargetMode="External" Target="https://www.legis.iowa.gov/docs/ico/chapter/84A.1B.pdf" Type="http://schemas.openxmlformats.org/officeDocument/2006/relationships/hyperlink" Id="rId19"/>
    <Relationship TargetMode="External" Target="https://www.legis.iowa.gov/docs/iac/chapter/281.21.pdf" Type="http://schemas.openxmlformats.org/officeDocument/2006/relationships/hyperlink" Id="rId20"/>
    <Relationship TargetMode="External" Target="https://www.legis.iowa.gov/docs/ico/chapter/84A.1B.pdf" Type="http://schemas.openxmlformats.org/officeDocument/2006/relationships/hyperlink" Id="rId21"/>
    <Relationship TargetMode="External" Target="https://www.legis.iowa.gov/docs/ico/chapter/256.228.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