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IOWA VOCATIONAL-TECHNICAL TUITION GRANT PROGRAM</w:t>
      </w:r>
    </w:p>
    <w:p>
      <w:pPr>
        <w:spacing w:before="0" w:after="0"/>
        <w:ind w:left="120"/>
        <w:jc w:val="center"/>
      </w:pPr>
      <w:r>
        <w:rPr>
          <w:rFonts w:ascii="Times New Roman" w:hAnsi="Times New Roman"/>
          <w:b w:val="false"/>
          <w:i w:val="false"/>
          <w:color w:val="000000"/>
          <w:sz w:val="14"/>
        </w:rPr>
        <w:t>[Prior to 8/10/88, see College Aid Commission, 245—Ch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9/11/29</w:t>
      </w:r>
    </w:p>
    <w:p>
      <w:pPr>
        <w:spacing w:before="0" w:after="0"/>
        <w:ind w:left="120"/>
        <w:jc w:val="both"/>
      </w:pPr>
      <w:r>
        <w:rPr>
          <w:rFonts w:ascii="Times New Roman" w:hAnsi="Times New Roman"/>
          <w:b/>
          <w:i w:val="false"/>
          <w:color w:val="000000"/>
          <w:sz w:val="22"/>
        </w:rPr>
        <w:t>283—13.1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Iowa vocational-technical tuition grant program is tuition-restricted and is also based on the financial metric and financial need of Iowa residents enrolled in eligible programs of study at Iowa community colleges.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283—13.2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283—13.3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is enrolled at least part-time in a program of study that is classified as a career and technical education program by the Iowa department of education; meets the award eligibility criteria; and meets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Completes the applications the commission deems necessary on or before the date established by the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2">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283—13.4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 xml:space="preserve">Eligible applicants may receive no more than the equivalent of four full-time awards. If the program of study cannot be completed by the eligible applicant within the extent of the award, the eligible applicant may qualify for the equivalent of one additional full-time award. These limits reset after two years of no postsecondary enrollment, pursuant to Iowa Code section </w:t>
      </w:r>
      <w:hyperlink r:id="rId13">
        <w:r>
          <w:rPr>
            <w:rStyle w:val="Hyperlink"/>
            <w:rFonts w:ascii="Times New Roman" w:hAnsi="Times New Roman"/>
            <w:b w:val="false"/>
            <w:i w:val="false"/>
            <w:color w:val="000000"/>
            <w:sz w:val="22"/>
          </w:rPr>
          <w:t>256.192(3)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not exceed the student’s financial need and may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cost of tuition, mandatory fees, books and supplies, as determined by the commission, and the amount of the federal Pell Grant for which the student qualifies,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award amount established by the commission that allows all eligible applicants to receive an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awarded in combination with other tuition-restricted funds, the total amount of tuition-restricted funding including an Iowa vocational-technical tuition grant cannot exceed the total tuition and mandatory fees charged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Iowa community colleges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Iowa community colleges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will apply awards directly to student accounts to cover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will provide information about eligible applicants to the commission in a format specified by the commission. Iowa community colleges will make necessary changes to awards due to a change in enrollment, program of study, and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are responsible for completing necessary verification and for coordinating other aid to ensure compliance with student eligibility requirements and allowable award amounts. Iowa community colleges will report changes in student eligibility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Iowa community colleges participating in this program with the criteria established in Iowa Code section </w:t>
      </w:r>
      <w:hyperlink r:id="rId14">
        <w:r>
          <w:rPr>
            <w:rStyle w:val="Hyperlink"/>
            <w:rFonts w:ascii="Times New Roman" w:hAnsi="Times New Roman"/>
            <w:b w:val="false"/>
            <w:i w:val="false"/>
            <w:color w:val="000000"/>
            <w:sz w:val="22"/>
          </w:rPr>
          <w:t>256.192</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10/15/73]</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2/16/79, Notice 11/1/78—published 3/7/79, effective 4/11/79]</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7/15/83, Notice 4/27/83—published 8/3/83, effective 9/7/83]</w:t>
      </w:r>
    </w:p>
    <w:p>
      <w:pPr>
        <w:spacing w:before="0" w:after="0"/>
        <w:ind w:left="120"/>
        <w:jc w:val="center"/>
      </w:pPr>
      <w:r>
        <w:rPr>
          <w:rFonts w:ascii="Times New Roman" w:hAnsi="Times New Roman"/>
          <w:b w:val="false"/>
          <w:i w:val="false"/>
          <w:color w:val="000000"/>
          <w:sz w:val="21"/>
        </w:rPr>
        <w:t>[Filed emergency 8/26/83—published 9/14/83, effective 8/26/83]</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1/13/89, Notice 11/2/88—published 2/8/89, effective 3/15/89]</w:t>
      </w:r>
    </w:p>
    <w:p>
      <w:pPr>
        <w:spacing w:before="0" w:after="0"/>
        <w:ind w:left="120"/>
        <w:jc w:val="center"/>
      </w:pPr>
      <w:r>
        <w:rPr>
          <w:rFonts w:ascii="Times New Roman" w:hAnsi="Times New Roman"/>
          <w:b w:val="false"/>
          <w:i w:val="false"/>
          <w:color w:val="000000"/>
          <w:sz w:val="21"/>
        </w:rPr>
        <w:t>[Filed 11/14/90, Notice 10/3/90—published 12/12/90, effective 1/16/91]</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12/1/97, Notice 10/8/97—published 12/17/97, effective 1/28/98]</w:t>
      </w:r>
    </w:p>
    <w:p>
      <w:pPr>
        <w:spacing w:before="0" w:after="0"/>
        <w:ind w:left="120"/>
        <w:jc w:val="center"/>
      </w:pPr>
      <w:r>
        <w:rPr>
          <w:rFonts w:ascii="Times New Roman" w:hAnsi="Times New Roman"/>
          <w:b w:val="false"/>
          <w:i w:val="false"/>
          <w:color w:val="000000"/>
          <w:sz w:val="21"/>
        </w:rPr>
        <w:t>[Filed 11/25/98, Notice 8/26/98—published 12/16/98, effective 1/20/99]</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8173C</w:t>
      </w:r>
      <w:r>
        <w:rPr>
          <w:rFonts w:ascii="Times New Roman" w:hAnsi="Times New Roman"/>
          <w:b w:val="false"/>
          <w:i w:val="false"/>
          <w:color w:val="000000"/>
          <w:sz w:val="21"/>
        </w:rPr>
        <w:t xml:space="preserve"> (Notice ARC 7853C,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3.10.2.pdf" Type="http://schemas.openxmlformats.org/officeDocument/2006/relationships/hyperlink" Id="rId5"/>
    <Relationship TargetMode="External" Target="https://www.legis.iowa.gov/docs/iac/rule/283.10.2.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10.3.pdf" Type="http://schemas.openxmlformats.org/officeDocument/2006/relationships/hyperlink" Id="rId12"/>
    <Relationship TargetMode="External" Target="https://www.legis.iowa.gov/docs/ico/chapter/256.192.pdf" Type="http://schemas.openxmlformats.org/officeDocument/2006/relationships/hyperlink" Id="rId13"/>
    <Relationship TargetMode="External" Target="https://www.legis.iowa.gov/docs/ico/chapter/256.192.pdf" Type="http://schemas.openxmlformats.org/officeDocument/2006/relationships/hyperlink" Id="rId14"/>
    <Relationship TargetMode="External" Target="https://www.legis.iowa.gov/docs/ico/chapter/256.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